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Cs/>
          <w:sz w:val="32"/>
          <w:szCs w:val="32"/>
        </w:rPr>
      </w:pPr>
      <w:r>
        <w:rPr>
          <w:rFonts w:hint="eastAsia" w:ascii="仿宋" w:hAnsi="仿宋" w:eastAsia="仿宋" w:cs="仿宋"/>
          <w:bCs/>
          <w:sz w:val="32"/>
          <w:szCs w:val="32"/>
        </w:rPr>
        <w:t>附件：</w:t>
      </w:r>
    </w:p>
    <w:p>
      <w:pPr>
        <w:jc w:val="center"/>
        <w:rPr>
          <w:rFonts w:ascii="黑体" w:hAnsi="黑体" w:eastAsia="黑体" w:cs="黑体"/>
          <w:bCs/>
          <w:sz w:val="44"/>
          <w:szCs w:val="44"/>
        </w:rPr>
      </w:pPr>
    </w:p>
    <w:p>
      <w:pPr>
        <w:jc w:val="center"/>
        <w:rPr>
          <w:rFonts w:ascii="黑体" w:hAnsi="黑体" w:eastAsia="黑体" w:cs="黑体"/>
          <w:bCs/>
          <w:sz w:val="44"/>
          <w:szCs w:val="44"/>
        </w:rPr>
      </w:pPr>
      <w:r>
        <w:rPr>
          <w:rFonts w:hint="eastAsia" w:ascii="黑体" w:hAnsi="黑体" w:eastAsia="黑体" w:cs="黑体"/>
          <w:bCs/>
          <w:sz w:val="44"/>
          <w:szCs w:val="44"/>
        </w:rPr>
        <w:t>唐山市高铁高速沿线工业固体废弃物和</w:t>
      </w:r>
    </w:p>
    <w:p>
      <w:pPr>
        <w:jc w:val="center"/>
        <w:rPr>
          <w:rFonts w:ascii="黑体" w:hAnsi="黑体" w:eastAsia="黑体" w:cs="黑体"/>
          <w:bCs/>
          <w:sz w:val="44"/>
          <w:szCs w:val="44"/>
        </w:rPr>
      </w:pPr>
      <w:r>
        <w:rPr>
          <w:rFonts w:hint="eastAsia" w:ascii="黑体" w:hAnsi="黑体" w:eastAsia="黑体" w:cs="黑体"/>
          <w:bCs/>
          <w:sz w:val="44"/>
          <w:szCs w:val="44"/>
        </w:rPr>
        <w:t>黑臭水体排查整治工作方案</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加快推进高铁高速沿线农村人居环境整治示范建设，做好“两高”重点区域工业固体废弃物和黑臭水体整治工作，按照河北省生态环境厅印发《河北省高铁高速沿线工业固体废弃物和黑臭水体排査整治工作方案》（冀环办字函[2019]243号）要求，结合唐山市乡村振兴工作领导小组办公室印发《唐山境内高铁高速沿线环境集中整治专项行动实施方案》(唐乡办[2019]9号)，制定本工作方案。</w:t>
      </w:r>
    </w:p>
    <w:p>
      <w:pPr>
        <w:pStyle w:val="2"/>
        <w:ind w:firstLine="643"/>
        <w:rPr>
          <w:rFonts w:ascii="仿宋" w:hAnsi="仿宋" w:eastAsia="仿宋" w:cs="仿宋"/>
          <w:sz w:val="32"/>
          <w:szCs w:val="32"/>
        </w:rPr>
      </w:pPr>
      <w:r>
        <w:rPr>
          <w:rFonts w:hint="eastAsia" w:ascii="仿宋" w:hAnsi="仿宋" w:eastAsia="仿宋" w:cs="仿宋"/>
          <w:sz w:val="32"/>
          <w:szCs w:val="32"/>
        </w:rPr>
        <w:t>一、总体要求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前一阶段开展工业固体废物和全市99个各类纳污坑塘排查整治工作基础上，按照河北省水污染防治工作领导小组办公室《关于进一步巩固深化全省纳污坑塘整治工作的通知》(冀水领办[2019]43号)要求，坚持问题导向和目标导向，聚焦高铁、高速沿线重点区域，再行开展工业固体废物和农药包装废弃物处置纳污坑塘整治情况环保执法督查“回头看”，推动沿线环境和村庄风貌进一步提档升级，通过示范引领、以点带面，全面提升全市农村人居环境整治质量和水平。</w:t>
      </w:r>
    </w:p>
    <w:p>
      <w:pPr>
        <w:pStyle w:val="2"/>
        <w:ind w:firstLine="643"/>
        <w:rPr>
          <w:rFonts w:ascii="仿宋" w:hAnsi="仿宋" w:eastAsia="仿宋" w:cs="仿宋"/>
          <w:sz w:val="32"/>
          <w:szCs w:val="32"/>
        </w:rPr>
      </w:pPr>
      <w:r>
        <w:rPr>
          <w:rFonts w:hint="eastAsia" w:ascii="仿宋" w:hAnsi="仿宋" w:eastAsia="仿宋" w:cs="仿宋"/>
          <w:sz w:val="32"/>
          <w:szCs w:val="32"/>
        </w:rPr>
        <w:t>二、任务目标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唐山境内高铁高速沿线环境集中整治专项行动实施方案》(唐乡办[2019]9号)任务目标，以京秦高铁高速沿线的10个县（市、区）、292个村庄为重点（见附件1），对上述区域内工业固体废弃物、农药包装废弃物处置情况，以及各类纳污坑塘整治情况，组织新一轮全面排查、核实，完成“两高”沿线农村人居环境整治有关任务。</w:t>
      </w:r>
    </w:p>
    <w:p>
      <w:pPr>
        <w:pStyle w:val="2"/>
        <w:ind w:firstLine="643"/>
        <w:rPr>
          <w:rFonts w:ascii="仿宋" w:hAnsi="仿宋" w:eastAsia="仿宋" w:cs="仿宋"/>
          <w:sz w:val="32"/>
          <w:szCs w:val="32"/>
        </w:rPr>
      </w:pPr>
      <w:r>
        <w:rPr>
          <w:rFonts w:hint="eastAsia" w:ascii="仿宋" w:hAnsi="仿宋" w:eastAsia="仿宋" w:cs="仿宋"/>
          <w:sz w:val="32"/>
          <w:szCs w:val="32"/>
        </w:rPr>
        <w:t>三、工作内容</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（一）工业固体废弃物排查整治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1、全面排查工业固体废弃物点位数量，各县（市）区要组织以乡镇(街道)、村为单元，对“两高”沿线历史遗留、非法倾倒的工业固体废弃物堆放点进行全面覆盖排查，列出问题、类别清单。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科学做好安全处置工作。2019年11月底前，各县（市）区政府对排查出的工业固体废弃物堆放点完成现场清理。对于历史遗留的堆放点，各县（市）区要限期清理转运到合法合规的贮存场所或处理单位进行处置;对于近期发生的堆放点，要摸排倒查找出责任方，限期完成处置；无法找到责任单位的，交由属地政府处理；对于涉及跨区倾倒的，要及时函告产生地政府协管部门协助处理，并将处理情况报市生态环境局备案。查实为危险废物的，要按照有关危险废物管理的法律法规进行安全处置。对于清理过程中发现的或者地方有关部门提出农药包装废弃物的处置，要按照《国家危险废物名录》的有关规定，科学安全处置。2020年3月底前，所有排查清理的工业固体废弃物和农药包装废弃物，得到安全、科学处置。</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工作标准:</w:t>
      </w:r>
      <w:r>
        <w:rPr>
          <w:rFonts w:hint="eastAsia" w:ascii="仿宋" w:hAnsi="仿宋" w:eastAsia="仿宋" w:cs="仿宋"/>
          <w:sz w:val="32"/>
          <w:szCs w:val="32"/>
        </w:rPr>
        <w:t>所有排查清理的工业固体废弃物，按堆存点位登记造册，分类实施安全处置。对属于危险废物的，要按照危险废物环境管理要求，制定安全处置方案并妥善处理，确保环境安全。</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（二）纳污坑塘排查整治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1、开展全面核实。各县（市）区在2018年上报完成整治纳污坑塘清单的基础上，对照“两高”沿线和292个村庄进行全面排查，核实上报清单中纳污坑塘是否按要求完成了整治，是否建立了长效管控措施。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2、组织深度排查。在全面核实基础上，对“两高”沿线和村庄中清单外的各类纳污坑塘进行专项再排查。对新排查出的纳污坑塘，要逐一建立责任清单和台账。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科学有效整治。各县（市）区政府和相关部门，要结合本地实际情况及坑塘中废水性质确定科学有效治理方案，纳污坑塘底泥受到污染的要进行清淤净化和生态修复处理；对纳污坑塘周边各类生活垃圾和建筑垃圾进行清理、确保各类垃圾科学规范处置。2019年11月底前，纳污坑塘及周边各类生活垃圾和建筑垃圾全部清理整治到位、提升到位。</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工作标准:</w:t>
      </w:r>
      <w:r>
        <w:rPr>
          <w:rFonts w:hint="eastAsia" w:ascii="仿宋" w:hAnsi="仿宋" w:eastAsia="仿宋" w:cs="仿宋"/>
          <w:sz w:val="32"/>
          <w:szCs w:val="32"/>
        </w:rPr>
        <w:t>整治后的各类纳污坑塘周边，可视范围内无垃圾堆存，严格督查管控，坑塘规整美观，不影响汛期排涝防洪功能。养殖类坑塘中废水和废液要及时清运、处理或进行综合利用，不影响周边居民和环境。工业类、混合类、生活类和其他类纳污坑塘中污水处理后能综合利用的，达到相应标准后进行综合利用，如进行农田灌溉、渔业养殖、道路抑尘等；污水处理后不能进行综台利用的，处理后水质要达到景观用水标准。坑塘底泥及周边受污染的土壤修复后要达到周边背景值标准。</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（三）农村黑臭水体排查整治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1、开展农村黑臭水体排查。对村庄周边500-1000米区</w:t>
      </w:r>
      <w:r>
        <w:rPr>
          <w:rFonts w:hint="eastAsia" w:ascii="仿宋" w:hAnsi="仿宋" w:eastAsia="仿宋" w:cs="仿宋"/>
          <w:sz w:val="32"/>
          <w:szCs w:val="32"/>
          <w:lang w:val="en-US" w:eastAsia="zh-CN"/>
        </w:rPr>
        <w:t>域</w:t>
      </w:r>
      <w:bookmarkStart w:id="0" w:name="_GoBack"/>
      <w:bookmarkEnd w:id="0"/>
      <w:r>
        <w:rPr>
          <w:rFonts w:hint="eastAsia" w:ascii="仿宋" w:hAnsi="仿宋" w:eastAsia="仿宋" w:cs="仿宋"/>
          <w:sz w:val="32"/>
          <w:szCs w:val="32"/>
        </w:rPr>
        <w:t>内，存在水体异味、或颜色明显异常的水体，列为黑臭水体；逐一列明问题情况和整改任务清单及完成整改时限。2019年10月20日前，将上述情况反馈市生态环境局。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开展黑臭水体整治。按照生态环境部、水利部、农业农村部《关于推进农村黑臭水体治理工作的指导意见》(环办土壤[2019]48号)规定，各县（市）区政府组织分析黑臭水体的污染成因，结合水体功能与去向、当地实际情况和村民诉求，编制黑臭水体治理方案并组织实施。2019年12月底前完成治理任务。情况复杂、整治任务量大的，最迟不得晚于2020年6月底前完成任务。</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工作标准:</w:t>
      </w:r>
      <w:r>
        <w:rPr>
          <w:rFonts w:hint="eastAsia" w:ascii="仿宋" w:hAnsi="仿宋" w:eastAsia="仿宋" w:cs="仿宋"/>
          <w:sz w:val="32"/>
          <w:szCs w:val="32"/>
        </w:rPr>
        <w:t>治理后的水体，无异味、颜色无异常；无污水直排，河底无黑臭淤泥，岸边无垃圾；明确河长、湖长职责，建立水体及沿岸定期清理及保洁机制，落实保洁人员和工作经费。</w:t>
      </w:r>
    </w:p>
    <w:p>
      <w:pPr>
        <w:pStyle w:val="2"/>
        <w:ind w:firstLine="643"/>
        <w:rPr>
          <w:rFonts w:ascii="仿宋" w:hAnsi="仿宋" w:eastAsia="仿宋" w:cs="仿宋"/>
          <w:sz w:val="32"/>
          <w:szCs w:val="32"/>
        </w:rPr>
      </w:pPr>
      <w:r>
        <w:rPr>
          <w:rFonts w:hint="eastAsia" w:ascii="仿宋" w:hAnsi="仿宋" w:eastAsia="仿宋" w:cs="仿宋"/>
          <w:sz w:val="32"/>
          <w:szCs w:val="32"/>
        </w:rPr>
        <w:t>四、实施步骤</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（一）全面核实，细致排查(2019年9月底前)。</w:t>
      </w:r>
      <w:r>
        <w:rPr>
          <w:rFonts w:hint="eastAsia" w:ascii="仿宋" w:hAnsi="仿宋" w:eastAsia="仿宋" w:cs="仿宋"/>
          <w:sz w:val="32"/>
          <w:szCs w:val="32"/>
        </w:rPr>
        <w:t>按照边核实、边排查、边整治的原则进行，对之前纳入问题清单的工业固体废弃物堆存点，以及未达到整治要求的纳污坑塘，全面、逐一核实。同时，对列入“两高”沿线排查范围的重点区域和村庄进行拉网式排查，是否存在新的工业固体废弃物和因基建工程造成新的纳污坑塘。各县（市）区务必严密网格，确保无死角、无盲区、无遗漏，并建立问题清单和台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2019年9月20日前，各县（市）区汇总辖区排查情况，列出问题清单和整治措施，报送市生态环境局。</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（二）分类施策，科学整治(2019年11月底前)。</w:t>
      </w:r>
      <w:r>
        <w:rPr>
          <w:rFonts w:hint="eastAsia" w:ascii="仿宋" w:hAnsi="仿宋" w:eastAsia="仿宋" w:cs="仿宋"/>
          <w:sz w:val="32"/>
          <w:szCs w:val="32"/>
        </w:rPr>
        <w:t>按照边排查、边整治的原则进行，对于问题简单的要立行立改，对于情况复杂、任务量大等短时间内难以清理整治的，各县（市）区政府和相关部门要进行科学论证和治理。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自即日起，每月20日前，各县（市）区向市生态环境局报告辖区工作进展情况（见附件2）。2019年11月20日前，各县（市）区总结排查、整治工作成果报市生态环境局。</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（三）严格验收，建立机制(2019年12月底前)。</w:t>
      </w:r>
      <w:r>
        <w:rPr>
          <w:rFonts w:hint="eastAsia" w:ascii="仿宋" w:hAnsi="仿宋" w:eastAsia="仿宋" w:cs="仿宋"/>
          <w:sz w:val="32"/>
          <w:szCs w:val="32"/>
        </w:rPr>
        <w:t>整治完成的工业固体废弃物堆存点、纳污坑塘和黑臭水体，根据有关工作要求和技术规范，各县（市）区要组织生态环境等相关部门进行验收和销号，并结合全市农村人居环境整治和美丽乡村建设工作部署要求，建立长效环境监管机制，防止出现问题反弹，杜绝各类环境隐患。市生态环境局将组成专项督导组，对各县（市）区整治工作进行巡查抽查，包括组织开展情况、指导处置情况、责任落实情况等。</w:t>
      </w:r>
    </w:p>
    <w:p>
      <w:pPr>
        <w:pStyle w:val="2"/>
        <w:ind w:firstLine="643"/>
        <w:rPr>
          <w:rFonts w:ascii="仿宋" w:hAnsi="仿宋" w:eastAsia="仿宋" w:cs="仿宋"/>
          <w:sz w:val="32"/>
          <w:szCs w:val="32"/>
        </w:rPr>
      </w:pPr>
      <w:r>
        <w:rPr>
          <w:rFonts w:hint="eastAsia" w:ascii="仿宋" w:hAnsi="仿宋" w:eastAsia="仿宋" w:cs="仿宋"/>
          <w:sz w:val="32"/>
          <w:szCs w:val="32"/>
        </w:rPr>
        <w:t>五、保障措施</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（一）加强组织领导。</w:t>
      </w:r>
      <w:r>
        <w:rPr>
          <w:rFonts w:hint="eastAsia" w:ascii="仿宋" w:hAnsi="仿宋" w:eastAsia="仿宋" w:cs="仿宋"/>
          <w:sz w:val="32"/>
          <w:szCs w:val="32"/>
        </w:rPr>
        <w:t>开展高铁高速沿线工业固体废物和纳污坑塘整治，是市委、市政府推进实施农村环境综合整治，改善提升农村人居生态环境质量的重点工作任务。各县（市）区要高度重视，认真组织、全面排查，对发现的相关问题按照部门职责分工及时转办，并对照问题清单逐一明确责任部门及盯办责任人员，督导跟踪落实到位，并向市生态环境局报告。</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（二）加大宣传教育。</w:t>
      </w:r>
      <w:r>
        <w:rPr>
          <w:rFonts w:hint="eastAsia" w:ascii="仿宋" w:hAnsi="仿宋" w:eastAsia="仿宋" w:cs="仿宋"/>
          <w:sz w:val="32"/>
          <w:szCs w:val="32"/>
        </w:rPr>
        <w:t>各县（市）区要充分利用互联网、报纸和广播等媒体渠道，大力宣传环境保护法规政策和生态环境部门相关工作部署安排，宣传一批遵纪守法的正面典型，曝光一批非法倾倒、非法排污的违法案例。要广泛接受社会监督，督促当地政府及相关部门履行属地管理和监管责任，激励排污单位认真落实治污责任，引导周边群众积极参与监督，营造全社会参与、关心、支持生态环境保护的良好氛围。</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（三）严肃责任追究。</w:t>
      </w:r>
      <w:r>
        <w:rPr>
          <w:rFonts w:hint="eastAsia" w:ascii="仿宋" w:hAnsi="仿宋" w:eastAsia="仿宋" w:cs="仿宋"/>
          <w:sz w:val="32"/>
          <w:szCs w:val="32"/>
        </w:rPr>
        <w:t>各县（市）区要认真组织排查整治工作，严禁走过场，确保工作取得实效。对工作组织不力、虚于应付、弄虚作假，或排查整治不认真、不全面、不彻底的，要依纪依规严肃追究相关人员的责任，市生态环境局将对各地工作开展情况进行抽查检查，对排查工作不认真、台账不全面、反馈不及时的，予以全市通报。对瞒报漏报、排查后仍然问题频发，引发群众举报和媒体曝光的，以及对前期未严格落实《关于进一步巩固深化全省纳污坑塘整治工作的通知》(冀水领办[2019]43号)要求，出现错报、瞒报、漏报的有关责任人员，将启动问责程序。</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附件：1.唐山市高铁高速沿线村庄统计表</w:t>
      </w:r>
    </w:p>
    <w:p>
      <w:pPr>
        <w:spacing w:line="360" w:lineRule="auto"/>
        <w:ind w:firstLine="1600" w:firstLineChars="500"/>
        <w:rPr>
          <w:rFonts w:ascii="仿宋" w:hAnsi="仿宋" w:eastAsia="仿宋" w:cs="仿宋"/>
          <w:sz w:val="32"/>
          <w:szCs w:val="32"/>
        </w:rPr>
      </w:pPr>
      <w:r>
        <w:rPr>
          <w:rFonts w:hint="eastAsia" w:ascii="仿宋" w:hAnsi="仿宋" w:eastAsia="仿宋" w:cs="仿宋"/>
          <w:sz w:val="32"/>
          <w:szCs w:val="32"/>
        </w:rPr>
        <w:t>2.高铁高速沿线工业固体废弃物和黑臭水体情</w:t>
      </w:r>
    </w:p>
    <w:p>
      <w:pPr>
        <w:spacing w:line="360" w:lineRule="auto"/>
        <w:ind w:firstLine="1920" w:firstLineChars="600"/>
        <w:rPr>
          <w:rFonts w:ascii="仿宋" w:hAnsi="仿宋" w:eastAsia="仿宋" w:cs="仿宋"/>
          <w:sz w:val="32"/>
          <w:szCs w:val="32"/>
        </w:rPr>
      </w:pPr>
      <w:r>
        <w:rPr>
          <w:rFonts w:hint="eastAsia" w:ascii="仿宋" w:hAnsi="仿宋" w:eastAsia="仿宋" w:cs="仿宋"/>
          <w:sz w:val="32"/>
          <w:szCs w:val="32"/>
        </w:rPr>
        <w:t>况统计表</w:t>
      </w:r>
    </w:p>
    <w:p>
      <w:pPr>
        <w:spacing w:line="360" w:lineRule="auto"/>
        <w:ind w:left="1916" w:leftChars="760" w:hanging="320" w:hangingChars="1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生态环境部、水利部、农业农村部《关于推进农村黑臭水体治理工作的指导意见》</w:t>
      </w:r>
    </w:p>
    <w:p>
      <w:pPr>
        <w:spacing w:line="360" w:lineRule="auto"/>
        <w:ind w:firstLine="1920" w:firstLineChars="600"/>
        <w:rPr>
          <w:rFonts w:ascii="仿宋" w:hAnsi="仿宋" w:eastAsia="仿宋" w:cs="仿宋"/>
          <w:sz w:val="32"/>
          <w:szCs w:val="32"/>
        </w:rPr>
      </w:pPr>
    </w:p>
    <w:p>
      <w:pPr>
        <w:spacing w:line="360" w:lineRule="auto"/>
        <w:ind w:firstLine="1920" w:firstLineChars="600"/>
        <w:rPr>
          <w:rFonts w:ascii="仿宋" w:hAnsi="仿宋" w:eastAsia="仿宋" w:cs="仿宋"/>
          <w:sz w:val="32"/>
          <w:szCs w:val="32"/>
        </w:rPr>
      </w:pPr>
    </w:p>
    <w:p>
      <w:pPr>
        <w:spacing w:line="360" w:lineRule="auto"/>
        <w:ind w:firstLine="1920" w:firstLineChars="6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cs="仿宋"/>
          <w:sz w:val="32"/>
          <w:szCs w:val="32"/>
        </w:rPr>
      </w:pPr>
      <w:r>
        <w:rPr>
          <w:rFonts w:hint="eastAsia" w:ascii="仿宋" w:hAnsi="仿宋" w:eastAsia="仿宋" w:cs="仿宋"/>
          <w:sz w:val="32"/>
          <w:szCs w:val="32"/>
        </w:rPr>
        <w:t>附件1：</w:t>
      </w:r>
    </w:p>
    <w:p>
      <w:pPr>
        <w:spacing w:line="580" w:lineRule="exact"/>
        <w:ind w:right="160"/>
        <w:jc w:val="center"/>
        <w:rPr>
          <w:rFonts w:ascii="宋体" w:hAnsi="宋体" w:eastAsia="宋体" w:cs="宋体"/>
          <w:color w:val="000000"/>
          <w:sz w:val="40"/>
          <w:szCs w:val="40"/>
        </w:rPr>
      </w:pPr>
      <w:r>
        <w:rPr>
          <w:rFonts w:hint="eastAsia" w:ascii="黑体" w:hAnsi="黑体" w:eastAsia="黑体" w:cs="黑体"/>
          <w:sz w:val="36"/>
          <w:szCs w:val="36"/>
        </w:rPr>
        <w:t>唐山市高铁高速沿线村庄统计表</w:t>
      </w:r>
    </w:p>
    <w:tbl>
      <w:tblPr>
        <w:tblStyle w:val="10"/>
        <w:tblW w:w="13192" w:type="dxa"/>
        <w:tblInd w:w="-93" w:type="dxa"/>
        <w:tblLayout w:type="fixed"/>
        <w:tblCellMar>
          <w:top w:w="0" w:type="dxa"/>
          <w:left w:w="15" w:type="dxa"/>
          <w:bottom w:w="0" w:type="dxa"/>
          <w:right w:w="15" w:type="dxa"/>
        </w:tblCellMar>
      </w:tblPr>
      <w:tblGrid>
        <w:gridCol w:w="669"/>
        <w:gridCol w:w="1348"/>
        <w:gridCol w:w="960"/>
        <w:gridCol w:w="885"/>
        <w:gridCol w:w="9330"/>
      </w:tblGrid>
      <w:tr>
        <w:tblPrEx>
          <w:tblLayout w:type="fixed"/>
          <w:tblCellMar>
            <w:top w:w="0" w:type="dxa"/>
            <w:left w:w="15" w:type="dxa"/>
            <w:bottom w:w="0" w:type="dxa"/>
            <w:right w:w="15" w:type="dxa"/>
          </w:tblCellMar>
        </w:tblPrEx>
        <w:trPr>
          <w:trHeight w:val="630"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序号</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2"/>
              </w:rPr>
              <w:t>县（市、区）</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沿线</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村数</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方正黑体简体" w:hAnsi="方正黑体简体" w:eastAsia="方正黑体简体" w:cs="方正黑体简体"/>
                <w:color w:val="000000"/>
                <w:sz w:val="24"/>
                <w:szCs w:val="24"/>
              </w:rPr>
            </w:pPr>
            <w:r>
              <w:rPr>
                <w:rFonts w:hint="eastAsia" w:ascii="方正黑体简体" w:hAnsi="方正黑体简体" w:eastAsia="方正黑体简体" w:cs="方正黑体简体"/>
                <w:color w:val="000000"/>
                <w:sz w:val="24"/>
                <w:szCs w:val="24"/>
              </w:rPr>
              <w:t>村名单</w:t>
            </w:r>
          </w:p>
        </w:tc>
      </w:tr>
      <w:tr>
        <w:tblPrEx>
          <w:tblLayout w:type="fixed"/>
          <w:tblCellMar>
            <w:top w:w="0" w:type="dxa"/>
            <w:left w:w="15" w:type="dxa"/>
            <w:bottom w:w="0" w:type="dxa"/>
            <w:right w:w="15" w:type="dxa"/>
          </w:tblCellMar>
        </w:tblPrEx>
        <w:trPr>
          <w:trHeight w:val="83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遵化</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京秦高速</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12</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东寺，左阳庄、周桥子、后毛庄、后河北、西杨庄、中滩村、东潘庄、西潘庄、东门庄、西门庄、夏家峪</w:t>
            </w:r>
          </w:p>
        </w:tc>
      </w:tr>
      <w:tr>
        <w:tblPrEx>
          <w:tblLayout w:type="fixed"/>
          <w:tblCellMar>
            <w:top w:w="0" w:type="dxa"/>
            <w:left w:w="15" w:type="dxa"/>
            <w:bottom w:w="0" w:type="dxa"/>
            <w:right w:w="15" w:type="dxa"/>
          </w:tblCellMar>
        </w:tblPrEx>
        <w:trPr>
          <w:trHeight w:val="2819"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2</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玉田</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京秦高速</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95</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东马头山、西马头山、小山头，陶官屯、松官屯、谢甲庄、北白塔、北李庄、姚辛壮、石河、小屯、梨园、小南庄、张庄子、徐家庄、晓乐屯、北王庄、白各庄、刘典屯、黄家山，杏树峪、八间房、刑张庄、邢家楼、庄户、前枣林庄、饶官屯，孟庄、河西、黄土桥、老公庄、杨土桥、张土桥、四合桥、蔡园屯、查家铺、大溜子、东宋铺、高家铺、郝家铺、黄姚铺、西冯铺、张于铺、纪家铺、西宋铺、邱家铺、代家铺、代家桥、马家店、王官铺、小稻地、钱家沟、李家桥、江家桥、王建庄、王铁铺、边庄子村、草桥头村、车庄子村、东牛各庄村、东小淀村、何家庄村、河东庄村、河西庄村、刘现庄村、苗李庄村、孙庄子村、田庄、王北街村、王前街村、王中街村、西牛各庄村、西小淀村、运河头村、石家铺村、穆庄子村、大辛庄、后付家铺、前付家铺、时家定府、宋庄、唐辛庄、小唐云铺、小辛庄、辛庄户、玉船窝、小河口、西杨家套、孟钦、程家铺、前八间房、赵腰铺、王贺铺、杜林浦、霞港</w:t>
            </w:r>
          </w:p>
        </w:tc>
      </w:tr>
      <w:tr>
        <w:tblPrEx>
          <w:tblLayout w:type="fixed"/>
          <w:tblCellMar>
            <w:top w:w="0" w:type="dxa"/>
            <w:left w:w="15" w:type="dxa"/>
            <w:bottom w:w="0" w:type="dxa"/>
            <w:right w:w="15" w:type="dxa"/>
          </w:tblCellMar>
        </w:tblPrEx>
        <w:trPr>
          <w:trHeight w:val="1760" w:hRule="atLeast"/>
        </w:trPr>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3</w:t>
            </w:r>
          </w:p>
        </w:tc>
        <w:tc>
          <w:tcPr>
            <w:tcW w:w="134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丰润</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京秦高速</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44</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西那母庄一村、西那母庄二村、西那母庄三村、小八里庄、新杨庄、水泉、高各庄、圪塔坨、偏峪、新农、前寺、石各庄、四户、庞庄子、大谷庄、桑园、小孟各庄、甸子、大八里庄、南陈庄、谷家园、南朱庄子、</w:t>
            </w:r>
            <w:r>
              <w:rPr>
                <w:rFonts w:ascii="宋体" w:hAnsi="宋体" w:eastAsia="宋体"/>
                <w:sz w:val="22"/>
              </w:rPr>
              <w:t>常庄一村、常庄三村、金庄、指务、</w:t>
            </w:r>
            <w:r>
              <w:rPr>
                <w:rFonts w:ascii="宋体" w:hAnsi="宋体" w:eastAsia="宋体"/>
                <w:color w:val="000000"/>
                <w:sz w:val="22"/>
              </w:rPr>
              <w:t>东黄各庄、大杨庄、常庄村、燕子河、蒙庄子、赵民庄、小黑马甸、刘三屯、东稍头、董庄子、屈王庄、三百户、吴家选、西稍头、杨庄子、仰伸坨、八各庄、大黑马甸</w:t>
            </w:r>
          </w:p>
        </w:tc>
      </w:tr>
      <w:tr>
        <w:tblPrEx>
          <w:tblLayout w:type="fixed"/>
          <w:tblCellMar>
            <w:top w:w="0" w:type="dxa"/>
            <w:left w:w="15" w:type="dxa"/>
            <w:bottom w:w="0" w:type="dxa"/>
            <w:right w:w="15" w:type="dxa"/>
          </w:tblCellMar>
        </w:tblPrEx>
        <w:trPr>
          <w:trHeight w:val="948"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sz w:val="24"/>
              </w:rPr>
            </w:pPr>
          </w:p>
        </w:tc>
        <w:tc>
          <w:tcPr>
            <w:tcW w:w="13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ascii="宋体" w:hAnsi="宋体"/>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15</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肘各庄、西龙虎庄、任各庄、光新庄子、东龙虎庄</w:t>
            </w:r>
            <w:r>
              <w:rPr>
                <w:rFonts w:ascii="宋体" w:hAnsi="宋体" w:eastAsia="宋体"/>
                <w:sz w:val="22"/>
              </w:rPr>
              <w:t>、指务、张家洼、门赵庄、金庄、金川院、花园、崔马庄三村、常庄一村、常庄三村、常庄二村</w:t>
            </w:r>
          </w:p>
        </w:tc>
      </w:tr>
      <w:tr>
        <w:tblPrEx>
          <w:tblLayout w:type="fixed"/>
          <w:tblCellMar>
            <w:top w:w="0" w:type="dxa"/>
            <w:left w:w="15" w:type="dxa"/>
            <w:bottom w:w="0" w:type="dxa"/>
            <w:right w:w="15" w:type="dxa"/>
          </w:tblCellMar>
        </w:tblPrEx>
        <w:trPr>
          <w:trHeight w:val="1065" w:hRule="atLeast"/>
        </w:trPr>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4</w:t>
            </w:r>
          </w:p>
        </w:tc>
        <w:tc>
          <w:tcPr>
            <w:tcW w:w="134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滦州</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京秦高速</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29</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赤峰堡、刘店、干河草、高家庄、韩新庄、莲花池、龙坨、孟店子、张家庄、北杨庄、高各庄、何庄、贾营、雎新庄、孙官营、安乐、陈官营、东河、东平、黄家楼、狼窝铺、前铁、寺后头、吴庄子、西河、小山子、一镇、椅子山、北铁</w:t>
            </w:r>
          </w:p>
        </w:tc>
      </w:tr>
      <w:tr>
        <w:tblPrEx>
          <w:tblLayout w:type="fixed"/>
          <w:tblCellMar>
            <w:top w:w="0" w:type="dxa"/>
            <w:left w:w="15" w:type="dxa"/>
            <w:bottom w:w="0" w:type="dxa"/>
            <w:right w:w="15" w:type="dxa"/>
          </w:tblCellMar>
        </w:tblPrEx>
        <w:trPr>
          <w:trHeight w:val="1395"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sz w:val="24"/>
              </w:rPr>
            </w:pPr>
          </w:p>
        </w:tc>
        <w:tc>
          <w:tcPr>
            <w:tcW w:w="13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ascii="宋体" w:hAnsi="宋体"/>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33</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塔上、前小寨、大岗上、北小寨、郑庄、于家河、油榨、肖庄、石崖、石梯子、前所营、何家沟、白佛院、赵家沟、团山子、宋家峪、闵庄、六百户、柳新庄、刘庄、郭各庄、高家峪、西一村、西孟、西二村、西安河、无一村、无四村、无三村、无二村、东孟、东樊、东安河</w:t>
            </w:r>
          </w:p>
        </w:tc>
      </w:tr>
      <w:tr>
        <w:tblPrEx>
          <w:tblLayout w:type="fixed"/>
          <w:tblCellMar>
            <w:top w:w="0" w:type="dxa"/>
            <w:left w:w="15" w:type="dxa"/>
            <w:bottom w:w="0" w:type="dxa"/>
            <w:right w:w="15" w:type="dxa"/>
          </w:tblCellMar>
        </w:tblPrEx>
        <w:trPr>
          <w:trHeight w:val="990" w:hRule="atLeast"/>
        </w:trPr>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5</w:t>
            </w:r>
          </w:p>
        </w:tc>
        <w:tc>
          <w:tcPr>
            <w:tcW w:w="134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迁安</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京秦高速</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24</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八家寨、八里塔、高李庄、霍庄、彭店子、王孟庄、小邹庄、北铺、二店子、红庙子、李店子、刘庄子、前铺、沙河驿、唐庄子、东新店、马铺营、七家岭、太平庄、西新店、仓库营、邵家营、小杨官营、野鸡坨。</w:t>
            </w:r>
          </w:p>
        </w:tc>
      </w:tr>
      <w:tr>
        <w:tblPrEx>
          <w:tblLayout w:type="fixed"/>
          <w:tblCellMar>
            <w:top w:w="0" w:type="dxa"/>
            <w:left w:w="15" w:type="dxa"/>
            <w:bottom w:w="0" w:type="dxa"/>
            <w:right w:w="15" w:type="dxa"/>
          </w:tblCellMar>
        </w:tblPrEx>
        <w:trPr>
          <w:trHeight w:val="630" w:hRule="atLeast"/>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sz w:val="24"/>
              </w:rPr>
            </w:pPr>
          </w:p>
        </w:tc>
        <w:tc>
          <w:tcPr>
            <w:tcW w:w="13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ascii="宋体" w:hAnsi="宋体"/>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葛庄子</w:t>
            </w:r>
          </w:p>
        </w:tc>
      </w:tr>
      <w:tr>
        <w:tblPrEx>
          <w:tblLayout w:type="fixed"/>
          <w:tblCellMar>
            <w:top w:w="0" w:type="dxa"/>
            <w:left w:w="15" w:type="dxa"/>
            <w:bottom w:w="0" w:type="dxa"/>
            <w:right w:w="15" w:type="dxa"/>
          </w:tblCellMar>
        </w:tblPrEx>
        <w:trPr>
          <w:trHeight w:val="600"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6</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开平</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双庙</w:t>
            </w:r>
          </w:p>
        </w:tc>
      </w:tr>
      <w:tr>
        <w:tblPrEx>
          <w:tblLayout w:type="fixed"/>
          <w:tblCellMar>
            <w:top w:w="0" w:type="dxa"/>
            <w:left w:w="15" w:type="dxa"/>
            <w:bottom w:w="0"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7</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高新</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8</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詹官屯、新村、夏屋、魏庄子、瓦房庄、老庄子、党家庄、陈家庄</w:t>
            </w:r>
          </w:p>
        </w:tc>
      </w:tr>
      <w:tr>
        <w:tblPrEx>
          <w:tblLayout w:type="fixed"/>
          <w:tblCellMar>
            <w:top w:w="0" w:type="dxa"/>
            <w:left w:w="15" w:type="dxa"/>
            <w:bottom w:w="0" w:type="dxa"/>
            <w:right w:w="15" w:type="dxa"/>
          </w:tblCellMar>
        </w:tblPrEx>
        <w:trPr>
          <w:trHeight w:val="720"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8</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路北</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12</w:t>
            </w:r>
          </w:p>
        </w:tc>
        <w:tc>
          <w:tcPr>
            <w:tcW w:w="933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甄家庄、杨家ロ、卫家庄、娘娘庙、马驹桥、马家涯、刘火新庄、赖王庄、丁家屯、常各庄村、曹家口、边各寨四村</w:t>
            </w:r>
          </w:p>
        </w:tc>
      </w:tr>
      <w:tr>
        <w:tblPrEx>
          <w:tblLayout w:type="fixed"/>
          <w:tblCellMar>
            <w:top w:w="0" w:type="dxa"/>
            <w:left w:w="15" w:type="dxa"/>
            <w:bottom w:w="0" w:type="dxa"/>
            <w:right w:w="15" w:type="dxa"/>
          </w:tblCellMar>
        </w:tblPrEx>
        <w:trPr>
          <w:trHeight w:val="720"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9</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丰南</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17</w:t>
            </w:r>
          </w:p>
        </w:tc>
        <w:tc>
          <w:tcPr>
            <w:tcW w:w="9330" w:type="dxa"/>
            <w:tcBorders>
              <w:top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宋体" w:hAnsi="宋体" w:eastAsia="宋体"/>
                <w:color w:val="000000"/>
                <w:sz w:val="22"/>
              </w:rPr>
            </w:pPr>
            <w:r>
              <w:rPr>
                <w:rFonts w:ascii="宋体" w:hAnsi="宋体" w:eastAsia="宋体"/>
                <w:color w:val="000000"/>
                <w:sz w:val="22"/>
              </w:rPr>
              <w:t>赵茂庄、赵翎庄、张山庄、唐坊村、孙老庄、孔家庄、于前、于北、么家泊、兰高庄、艾坨、张良庄村、西田庄村、王打刁村、宋庄子村、东田庄村、崔庄户村</w:t>
            </w:r>
          </w:p>
        </w:tc>
      </w:tr>
      <w:tr>
        <w:tblPrEx>
          <w:tblLayout w:type="fixed"/>
          <w:tblCellMar>
            <w:top w:w="0" w:type="dxa"/>
            <w:left w:w="15" w:type="dxa"/>
            <w:bottom w:w="0"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10</w:t>
            </w:r>
          </w:p>
        </w:tc>
        <w:tc>
          <w:tcPr>
            <w:tcW w:w="13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汉沽</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京秦高铁</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color w:val="000000"/>
                <w:sz w:val="22"/>
              </w:rPr>
            </w:pPr>
            <w:r>
              <w:rPr>
                <w:rFonts w:ascii="宋体" w:hAnsi="宋体" w:eastAsia="宋体"/>
                <w:color w:val="000000"/>
                <w:sz w:val="22"/>
              </w:rPr>
              <w:t>5</w:t>
            </w:r>
          </w:p>
        </w:tc>
        <w:tc>
          <w:tcPr>
            <w:tcW w:w="9330" w:type="dxa"/>
            <w:tcBorders>
              <w:top w:val="single" w:color="000000" w:sz="4" w:space="0"/>
              <w:bottom w:val="single" w:color="000000" w:sz="4" w:space="0"/>
              <w:right w:val="single" w:color="000000" w:sz="4" w:space="0"/>
            </w:tcBorders>
            <w:vAlign w:val="center"/>
          </w:tcPr>
          <w:p>
            <w:pPr>
              <w:autoSpaceDN w:val="0"/>
              <w:spacing w:line="300" w:lineRule="exact"/>
              <w:textAlignment w:val="center"/>
              <w:rPr>
                <w:rFonts w:ascii="宋体" w:hAnsi="宋体" w:eastAsia="宋体"/>
                <w:color w:val="000000"/>
              </w:rPr>
            </w:pPr>
            <w:r>
              <w:rPr>
                <w:rFonts w:ascii="宋体" w:hAnsi="宋体" w:eastAsia="宋体"/>
                <w:color w:val="000000"/>
              </w:rPr>
              <w:t>裴庄、张绪、第一生产队、第六生产队、第七生产队</w:t>
            </w:r>
          </w:p>
        </w:tc>
      </w:tr>
    </w:tbl>
    <w:p>
      <w:pPr>
        <w:spacing w:line="360" w:lineRule="auto"/>
        <w:ind w:firstLine="640" w:firstLineChars="200"/>
        <w:rPr>
          <w:rFonts w:ascii="仿宋" w:hAnsi="仿宋" w:eastAsia="仿宋" w:cs="仿宋"/>
          <w:sz w:val="32"/>
          <w:szCs w:val="32"/>
        </w:rPr>
        <w:sectPr>
          <w:pgSz w:w="16838" w:h="11906" w:orient="landscape"/>
          <w:pgMar w:top="1803" w:right="1440" w:bottom="1803" w:left="1440" w:header="851" w:footer="992" w:gutter="0"/>
          <w:cols w:space="0" w:num="1"/>
          <w:docGrid w:type="lines" w:linePitch="319" w:charSpace="0"/>
        </w:sectPr>
      </w:pPr>
    </w:p>
    <w:p>
      <w:pPr>
        <w:spacing w:line="360" w:lineRule="auto"/>
        <w:rPr>
          <w:rFonts w:ascii="仿宋" w:hAnsi="仿宋" w:eastAsia="仿宋" w:cs="仿宋"/>
          <w:sz w:val="32"/>
          <w:szCs w:val="32"/>
        </w:rPr>
      </w:pPr>
      <w:r>
        <w:rPr>
          <w:rFonts w:hint="eastAsia" w:ascii="仿宋" w:hAnsi="仿宋" w:eastAsia="仿宋" w:cs="仿宋"/>
          <w:sz w:val="32"/>
          <w:szCs w:val="32"/>
        </w:rPr>
        <w:t>附件2：</w:t>
      </w:r>
    </w:p>
    <w:p>
      <w:pPr>
        <w:spacing w:line="56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 xml:space="preserve"> 县（市、区）排查整治高铁高速沿线工业固体废弃物和黑臭水体情况统计表</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280" w:firstLineChars="100"/>
        <w:rPr>
          <w:rFonts w:ascii="仿宋_GB2312" w:hAnsi="仿宋_GB2312" w:eastAsia="仿宋_GB2312" w:cs="仿宋_GB2312"/>
          <w:sz w:val="24"/>
          <w:szCs w:val="24"/>
        </w:rPr>
      </w:pPr>
      <w:r>
        <w:rPr>
          <w:rFonts w:hint="eastAsia" w:ascii="楷体" w:hAnsi="楷体" w:eastAsia="楷体" w:cs="楷体"/>
          <w:sz w:val="28"/>
          <w:szCs w:val="28"/>
        </w:rPr>
        <w:t>表1</w:t>
      </w:r>
      <w:r>
        <w:rPr>
          <w:rFonts w:hint="eastAsia" w:ascii="仿宋_GB2312" w:hAnsi="仿宋_GB2312" w:eastAsia="仿宋_GB2312" w:cs="仿宋_GB2312"/>
          <w:sz w:val="24"/>
          <w:szCs w:val="24"/>
        </w:rPr>
        <w:t xml:space="preserve">   </w:t>
      </w:r>
    </w:p>
    <w:p>
      <w:pPr>
        <w:spacing w:line="560" w:lineRule="exact"/>
        <w:ind w:firstLine="280" w:firstLineChars="100"/>
        <w:rPr>
          <w:rFonts w:ascii="仿宋_GB2312" w:hAnsi="仿宋_GB2312" w:eastAsia="仿宋_GB2312" w:cs="仿宋_GB2312"/>
          <w:sz w:val="24"/>
          <w:szCs w:val="24"/>
        </w:rPr>
      </w:pPr>
      <w:r>
        <w:rPr>
          <w:rFonts w:hint="eastAsia" w:ascii="楷体" w:hAnsi="楷体" w:eastAsia="楷体" w:cs="楷体"/>
          <w:sz w:val="28"/>
          <w:szCs w:val="28"/>
        </w:rPr>
        <w:t xml:space="preserve">报送日期：                                                      </w:t>
      </w:r>
    </w:p>
    <w:tbl>
      <w:tblPr>
        <w:tblStyle w:val="11"/>
        <w:tblW w:w="13420" w:type="dxa"/>
        <w:jc w:val="center"/>
        <w:tblInd w:w="-3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875"/>
        <w:gridCol w:w="3475"/>
        <w:gridCol w:w="1417"/>
        <w:gridCol w:w="1515"/>
        <w:gridCol w:w="19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145"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问题类别</w:t>
            </w:r>
          </w:p>
        </w:tc>
        <w:tc>
          <w:tcPr>
            <w:tcW w:w="18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szCs w:val="21"/>
              </w:rPr>
              <w:t>排查问题数量</w:t>
            </w:r>
          </w:p>
        </w:tc>
        <w:tc>
          <w:tcPr>
            <w:tcW w:w="34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kern w:val="0"/>
                <w:szCs w:val="21"/>
              </w:rPr>
              <w:t>简述问题情况</w:t>
            </w:r>
          </w:p>
        </w:tc>
        <w:tc>
          <w:tcPr>
            <w:tcW w:w="141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处置或交办情况</w:t>
            </w:r>
          </w:p>
        </w:tc>
        <w:tc>
          <w:tcPr>
            <w:tcW w:w="151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szCs w:val="21"/>
              </w:rPr>
              <w:t>整改要求</w:t>
            </w:r>
          </w:p>
        </w:tc>
        <w:tc>
          <w:tcPr>
            <w:tcW w:w="198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目前整改进度</w:t>
            </w:r>
          </w:p>
        </w:tc>
        <w:tc>
          <w:tcPr>
            <w:tcW w:w="2013"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盯办责任部门及责任人员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工业固体废弃物</w:t>
            </w:r>
          </w:p>
        </w:tc>
        <w:tc>
          <w:tcPr>
            <w:tcW w:w="1875" w:type="dxa"/>
            <w:vAlign w:val="center"/>
          </w:tcPr>
          <w:p>
            <w:pPr>
              <w:jc w:val="center"/>
              <w:rPr>
                <w:rFonts w:ascii="仿宋_GB2312" w:hAnsi="仿宋_GB2312" w:eastAsia="仿宋_GB2312" w:cs="仿宋_GB2312"/>
                <w:szCs w:val="21"/>
              </w:rPr>
            </w:pPr>
          </w:p>
        </w:tc>
        <w:tc>
          <w:tcPr>
            <w:tcW w:w="3475" w:type="dxa"/>
            <w:vAlign w:val="center"/>
          </w:tcPr>
          <w:p>
            <w:pPr>
              <w:jc w:val="center"/>
              <w:rPr>
                <w:rFonts w:ascii="仿宋_GB2312" w:hAnsi="仿宋_GB2312" w:eastAsia="仿宋_GB2312" w:cs="仿宋_GB2312"/>
                <w:szCs w:val="21"/>
              </w:rPr>
            </w:pPr>
          </w:p>
        </w:tc>
        <w:tc>
          <w:tcPr>
            <w:tcW w:w="1417" w:type="dxa"/>
            <w:vAlign w:val="center"/>
          </w:tcPr>
          <w:p>
            <w:pPr>
              <w:jc w:val="center"/>
              <w:rPr>
                <w:rFonts w:ascii="仿宋_GB2312" w:hAnsi="仿宋_GB2312" w:eastAsia="仿宋_GB2312" w:cs="仿宋_GB2312"/>
                <w:szCs w:val="21"/>
              </w:rPr>
            </w:pPr>
          </w:p>
        </w:tc>
        <w:tc>
          <w:tcPr>
            <w:tcW w:w="1515" w:type="dxa"/>
            <w:vAlign w:val="center"/>
          </w:tcPr>
          <w:p>
            <w:pPr>
              <w:jc w:val="center"/>
              <w:rPr>
                <w:rFonts w:ascii="仿宋_GB2312" w:hAnsi="仿宋_GB2312" w:eastAsia="仿宋_GB2312" w:cs="仿宋_GB2312"/>
                <w:szCs w:val="21"/>
              </w:rPr>
            </w:pPr>
          </w:p>
        </w:tc>
        <w:tc>
          <w:tcPr>
            <w:tcW w:w="1980" w:type="dxa"/>
            <w:vAlign w:val="center"/>
          </w:tcPr>
          <w:p>
            <w:pPr>
              <w:jc w:val="center"/>
              <w:rPr>
                <w:rFonts w:ascii="仿宋_GB2312" w:hAnsi="仿宋_GB2312" w:eastAsia="仿宋_GB2312" w:cs="仿宋_GB2312"/>
                <w:szCs w:val="21"/>
              </w:rPr>
            </w:pPr>
          </w:p>
        </w:tc>
        <w:tc>
          <w:tcPr>
            <w:tcW w:w="2013"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农药包装废弃物</w:t>
            </w:r>
          </w:p>
        </w:tc>
        <w:tc>
          <w:tcPr>
            <w:tcW w:w="1875" w:type="dxa"/>
            <w:vAlign w:val="center"/>
          </w:tcPr>
          <w:p>
            <w:pPr>
              <w:jc w:val="center"/>
              <w:rPr>
                <w:rFonts w:ascii="仿宋_GB2312" w:hAnsi="仿宋_GB2312" w:eastAsia="仿宋_GB2312" w:cs="仿宋_GB2312"/>
                <w:szCs w:val="21"/>
              </w:rPr>
            </w:pPr>
          </w:p>
        </w:tc>
        <w:tc>
          <w:tcPr>
            <w:tcW w:w="3475" w:type="dxa"/>
            <w:vAlign w:val="center"/>
          </w:tcPr>
          <w:p>
            <w:pPr>
              <w:jc w:val="center"/>
              <w:rPr>
                <w:rFonts w:ascii="仿宋_GB2312" w:hAnsi="仿宋_GB2312" w:eastAsia="仿宋_GB2312" w:cs="仿宋_GB2312"/>
                <w:szCs w:val="21"/>
              </w:rPr>
            </w:pPr>
          </w:p>
        </w:tc>
        <w:tc>
          <w:tcPr>
            <w:tcW w:w="1417" w:type="dxa"/>
            <w:vAlign w:val="center"/>
          </w:tcPr>
          <w:p>
            <w:pPr>
              <w:jc w:val="center"/>
              <w:rPr>
                <w:rFonts w:ascii="仿宋_GB2312" w:hAnsi="仿宋_GB2312" w:eastAsia="仿宋_GB2312" w:cs="仿宋_GB2312"/>
                <w:szCs w:val="21"/>
              </w:rPr>
            </w:pPr>
          </w:p>
        </w:tc>
        <w:tc>
          <w:tcPr>
            <w:tcW w:w="1515" w:type="dxa"/>
            <w:vAlign w:val="center"/>
          </w:tcPr>
          <w:p>
            <w:pPr>
              <w:jc w:val="center"/>
              <w:rPr>
                <w:rFonts w:ascii="仿宋_GB2312" w:hAnsi="仿宋_GB2312" w:eastAsia="仿宋_GB2312" w:cs="仿宋_GB2312"/>
                <w:szCs w:val="21"/>
              </w:rPr>
            </w:pPr>
          </w:p>
        </w:tc>
        <w:tc>
          <w:tcPr>
            <w:tcW w:w="1980" w:type="dxa"/>
            <w:vAlign w:val="center"/>
          </w:tcPr>
          <w:p>
            <w:pPr>
              <w:jc w:val="center"/>
              <w:rPr>
                <w:rFonts w:ascii="仿宋_GB2312" w:hAnsi="仿宋_GB2312" w:eastAsia="仿宋_GB2312" w:cs="仿宋_GB2312"/>
                <w:szCs w:val="21"/>
              </w:rPr>
            </w:pPr>
          </w:p>
        </w:tc>
        <w:tc>
          <w:tcPr>
            <w:tcW w:w="2013" w:type="dxa"/>
            <w:vAlign w:val="center"/>
          </w:tcPr>
          <w:p>
            <w:pPr>
              <w:jc w:val="center"/>
              <w:rPr>
                <w:rFonts w:ascii="仿宋_GB2312" w:hAnsi="仿宋_GB2312" w:eastAsia="仿宋_GB2312" w:cs="仿宋_GB2312"/>
                <w:szCs w:val="21"/>
              </w:rPr>
            </w:pPr>
          </w:p>
        </w:tc>
      </w:tr>
    </w:tbl>
    <w:p>
      <w:pPr>
        <w:jc w:val="right"/>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填表人员：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Cs w:val="21"/>
        </w:rPr>
        <w:t>（单位、姓名、职务）；审核人员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Cs w:val="21"/>
        </w:rPr>
        <w:t>（单位、姓名、职务）</w:t>
      </w:r>
    </w:p>
    <w:p>
      <w:pPr>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注：1、以县为单位汇总填写，</w:t>
      </w:r>
      <w:r>
        <w:rPr>
          <w:rFonts w:hint="eastAsia" w:ascii="仿宋_GB2312" w:hAnsi="仿宋_GB2312" w:eastAsia="仿宋_GB2312" w:cs="仿宋_GB2312"/>
          <w:color w:val="auto"/>
          <w:szCs w:val="21"/>
        </w:rPr>
        <w:t>并加盖县（市）区生态环境分局公章，</w:t>
      </w:r>
      <w:r>
        <w:rPr>
          <w:rFonts w:hint="eastAsia" w:ascii="仿宋_GB2312" w:hAnsi="仿宋_GB2312" w:eastAsia="仿宋_GB2312" w:cs="仿宋_GB2312"/>
          <w:szCs w:val="21"/>
        </w:rPr>
        <w:t>每月</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日前更新进展情况，未按时报送视为无进展。</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2、此表仅填写排查发现的问题。经排查未发现问题的，需注明，并加盖县（市）区生态环境分局公章。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3、工业固体废弃物排查，不仅填报问题数量，同时估算重量（单位：吨）。</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p>
    <w:p>
      <w:pPr>
        <w:spacing w:line="560" w:lineRule="exact"/>
        <w:ind w:firstLine="280" w:firstLineChars="100"/>
        <w:rPr>
          <w:rFonts w:ascii="楷体" w:hAnsi="楷体" w:eastAsia="楷体" w:cs="楷体"/>
          <w:sz w:val="28"/>
          <w:szCs w:val="28"/>
        </w:rPr>
      </w:pPr>
    </w:p>
    <w:p>
      <w:pPr>
        <w:spacing w:line="560" w:lineRule="exact"/>
        <w:ind w:firstLine="280" w:firstLineChars="100"/>
        <w:rPr>
          <w:rFonts w:hint="eastAsia" w:ascii="楷体" w:hAnsi="楷体" w:eastAsia="楷体" w:cs="楷体"/>
          <w:sz w:val="28"/>
          <w:szCs w:val="28"/>
        </w:rPr>
      </w:pPr>
      <w:r>
        <w:rPr>
          <w:rFonts w:hint="eastAsia" w:ascii="楷体" w:hAnsi="楷体" w:eastAsia="楷体" w:cs="楷体"/>
          <w:sz w:val="28"/>
          <w:szCs w:val="28"/>
        </w:rPr>
        <w:t>表2</w:t>
      </w:r>
    </w:p>
    <w:p>
      <w:pPr>
        <w:spacing w:line="560" w:lineRule="exact"/>
        <w:ind w:firstLine="280" w:firstLineChars="100"/>
        <w:rPr>
          <w:rFonts w:ascii="仿宋_GB2312" w:hAnsi="仿宋_GB2312" w:eastAsia="仿宋_GB2312" w:cs="仿宋_GB2312"/>
          <w:sz w:val="24"/>
          <w:szCs w:val="24"/>
        </w:rPr>
      </w:pPr>
      <w:r>
        <w:rPr>
          <w:rFonts w:hint="eastAsia" w:ascii="楷体" w:hAnsi="楷体" w:eastAsia="楷体" w:cs="楷体"/>
          <w:sz w:val="28"/>
          <w:szCs w:val="28"/>
        </w:rPr>
        <w:t xml:space="preserve">报送日期：                                                      </w:t>
      </w:r>
    </w:p>
    <w:tbl>
      <w:tblPr>
        <w:tblStyle w:val="11"/>
        <w:tblW w:w="13420" w:type="dxa"/>
        <w:jc w:val="center"/>
        <w:tblInd w:w="-3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875"/>
        <w:gridCol w:w="3475"/>
        <w:gridCol w:w="1417"/>
        <w:gridCol w:w="1515"/>
        <w:gridCol w:w="19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145"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问题类别</w:t>
            </w:r>
          </w:p>
        </w:tc>
        <w:tc>
          <w:tcPr>
            <w:tcW w:w="18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szCs w:val="21"/>
              </w:rPr>
              <w:t>排查问题数量</w:t>
            </w:r>
          </w:p>
        </w:tc>
        <w:tc>
          <w:tcPr>
            <w:tcW w:w="34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kern w:val="0"/>
                <w:szCs w:val="21"/>
              </w:rPr>
              <w:t>简述问题情况</w:t>
            </w:r>
          </w:p>
        </w:tc>
        <w:tc>
          <w:tcPr>
            <w:tcW w:w="141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处置或交办情况</w:t>
            </w:r>
          </w:p>
        </w:tc>
        <w:tc>
          <w:tcPr>
            <w:tcW w:w="151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szCs w:val="21"/>
              </w:rPr>
              <w:t>整改要求</w:t>
            </w:r>
          </w:p>
        </w:tc>
        <w:tc>
          <w:tcPr>
            <w:tcW w:w="198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目前整改进度</w:t>
            </w:r>
          </w:p>
        </w:tc>
        <w:tc>
          <w:tcPr>
            <w:tcW w:w="2013"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盯办责任部门及责任人员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纳污坑塘</w:t>
            </w:r>
          </w:p>
        </w:tc>
        <w:tc>
          <w:tcPr>
            <w:tcW w:w="1875" w:type="dxa"/>
            <w:vAlign w:val="center"/>
          </w:tcPr>
          <w:p>
            <w:pPr>
              <w:jc w:val="center"/>
              <w:rPr>
                <w:rFonts w:ascii="仿宋_GB2312" w:hAnsi="仿宋_GB2312" w:eastAsia="仿宋_GB2312" w:cs="仿宋_GB2312"/>
                <w:szCs w:val="21"/>
              </w:rPr>
            </w:pPr>
          </w:p>
        </w:tc>
        <w:tc>
          <w:tcPr>
            <w:tcW w:w="3475" w:type="dxa"/>
            <w:vAlign w:val="center"/>
          </w:tcPr>
          <w:p>
            <w:pPr>
              <w:jc w:val="center"/>
              <w:rPr>
                <w:rFonts w:ascii="仿宋_GB2312" w:hAnsi="仿宋_GB2312" w:eastAsia="仿宋_GB2312" w:cs="仿宋_GB2312"/>
                <w:szCs w:val="21"/>
              </w:rPr>
            </w:pPr>
          </w:p>
        </w:tc>
        <w:tc>
          <w:tcPr>
            <w:tcW w:w="1417" w:type="dxa"/>
            <w:vAlign w:val="center"/>
          </w:tcPr>
          <w:p>
            <w:pPr>
              <w:jc w:val="center"/>
              <w:rPr>
                <w:rFonts w:ascii="仿宋_GB2312" w:hAnsi="仿宋_GB2312" w:eastAsia="仿宋_GB2312" w:cs="仿宋_GB2312"/>
                <w:szCs w:val="21"/>
              </w:rPr>
            </w:pPr>
          </w:p>
        </w:tc>
        <w:tc>
          <w:tcPr>
            <w:tcW w:w="1515" w:type="dxa"/>
            <w:vAlign w:val="center"/>
          </w:tcPr>
          <w:p>
            <w:pPr>
              <w:jc w:val="center"/>
              <w:rPr>
                <w:rFonts w:ascii="仿宋_GB2312" w:hAnsi="仿宋_GB2312" w:eastAsia="仿宋_GB2312" w:cs="仿宋_GB2312"/>
                <w:szCs w:val="21"/>
              </w:rPr>
            </w:pPr>
          </w:p>
        </w:tc>
        <w:tc>
          <w:tcPr>
            <w:tcW w:w="1980" w:type="dxa"/>
            <w:vAlign w:val="center"/>
          </w:tcPr>
          <w:p>
            <w:pPr>
              <w:jc w:val="center"/>
              <w:rPr>
                <w:rFonts w:ascii="仿宋_GB2312" w:hAnsi="仿宋_GB2312" w:eastAsia="仿宋_GB2312" w:cs="仿宋_GB2312"/>
                <w:szCs w:val="21"/>
              </w:rPr>
            </w:pPr>
          </w:p>
        </w:tc>
        <w:tc>
          <w:tcPr>
            <w:tcW w:w="2013" w:type="dxa"/>
            <w:vAlign w:val="center"/>
          </w:tcPr>
          <w:p>
            <w:pPr>
              <w:jc w:val="center"/>
              <w:rPr>
                <w:rFonts w:ascii="仿宋_GB2312" w:hAnsi="仿宋_GB2312" w:eastAsia="仿宋_GB2312" w:cs="仿宋_GB2312"/>
                <w:szCs w:val="21"/>
              </w:rPr>
            </w:pPr>
          </w:p>
        </w:tc>
      </w:tr>
    </w:tbl>
    <w:p>
      <w:pPr>
        <w:jc w:val="right"/>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填表人员：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Cs w:val="21"/>
        </w:rPr>
        <w:t>（单位、姓名、职务）；审核人员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Cs w:val="21"/>
        </w:rPr>
        <w:t>（单位、姓名、职务）</w:t>
      </w:r>
    </w:p>
    <w:p>
      <w:pPr>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注：1、以县为单位汇总填写，并加盖县（市）区生态环境分局公章，每月</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日前更新进展情况，未按时报送视为无进展。</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2、此表仅填写排查发现的问题。经排查未发现问题的，需注明，并加盖县（市）区生态环境分局公章。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560" w:lineRule="exact"/>
        <w:ind w:firstLine="280" w:firstLineChars="100"/>
        <w:rPr>
          <w:rFonts w:ascii="楷体" w:hAnsi="楷体" w:eastAsia="楷体" w:cs="楷体"/>
          <w:sz w:val="28"/>
          <w:szCs w:val="28"/>
        </w:rPr>
      </w:pPr>
    </w:p>
    <w:p>
      <w:pPr>
        <w:spacing w:line="560" w:lineRule="exact"/>
        <w:ind w:firstLine="280" w:firstLineChars="100"/>
        <w:rPr>
          <w:rFonts w:ascii="楷体" w:hAnsi="楷体" w:eastAsia="楷体" w:cs="楷体"/>
          <w:sz w:val="28"/>
          <w:szCs w:val="28"/>
        </w:rPr>
      </w:pPr>
    </w:p>
    <w:p>
      <w:pPr>
        <w:spacing w:line="560" w:lineRule="exact"/>
        <w:ind w:firstLine="280" w:firstLineChars="100"/>
        <w:rPr>
          <w:rFonts w:ascii="楷体" w:hAnsi="楷体" w:eastAsia="楷体" w:cs="楷体"/>
          <w:sz w:val="28"/>
          <w:szCs w:val="28"/>
        </w:rPr>
      </w:pPr>
    </w:p>
    <w:p>
      <w:pPr>
        <w:spacing w:line="560" w:lineRule="exact"/>
        <w:ind w:firstLine="280" w:firstLineChars="100"/>
        <w:rPr>
          <w:rFonts w:hint="eastAsia" w:ascii="楷体" w:hAnsi="楷体" w:eastAsia="楷体" w:cs="楷体"/>
          <w:sz w:val="28"/>
          <w:szCs w:val="28"/>
        </w:rPr>
      </w:pPr>
      <w:r>
        <w:rPr>
          <w:rFonts w:hint="eastAsia" w:ascii="楷体" w:hAnsi="楷体" w:eastAsia="楷体" w:cs="楷体"/>
          <w:sz w:val="28"/>
          <w:szCs w:val="28"/>
        </w:rPr>
        <w:t>表3</w:t>
      </w:r>
    </w:p>
    <w:p>
      <w:pPr>
        <w:spacing w:line="560" w:lineRule="exact"/>
        <w:ind w:firstLine="280" w:firstLineChars="100"/>
        <w:rPr>
          <w:rFonts w:ascii="仿宋_GB2312" w:hAnsi="仿宋_GB2312" w:eastAsia="仿宋_GB2312" w:cs="仿宋_GB2312"/>
          <w:sz w:val="24"/>
          <w:szCs w:val="24"/>
        </w:rPr>
      </w:pPr>
      <w:r>
        <w:rPr>
          <w:rFonts w:hint="eastAsia" w:ascii="楷体" w:hAnsi="楷体" w:eastAsia="楷体" w:cs="楷体"/>
          <w:sz w:val="28"/>
          <w:szCs w:val="28"/>
        </w:rPr>
        <w:t xml:space="preserve">报送日期：                                                      </w:t>
      </w:r>
    </w:p>
    <w:tbl>
      <w:tblPr>
        <w:tblStyle w:val="11"/>
        <w:tblW w:w="13420" w:type="dxa"/>
        <w:jc w:val="center"/>
        <w:tblInd w:w="-3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875"/>
        <w:gridCol w:w="3475"/>
        <w:gridCol w:w="1417"/>
        <w:gridCol w:w="1515"/>
        <w:gridCol w:w="19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145"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问题类别</w:t>
            </w:r>
          </w:p>
        </w:tc>
        <w:tc>
          <w:tcPr>
            <w:tcW w:w="18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szCs w:val="21"/>
              </w:rPr>
              <w:t>排查问题数量</w:t>
            </w:r>
          </w:p>
        </w:tc>
        <w:tc>
          <w:tcPr>
            <w:tcW w:w="34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kern w:val="0"/>
                <w:szCs w:val="21"/>
              </w:rPr>
              <w:t>简述问题情况</w:t>
            </w:r>
          </w:p>
        </w:tc>
        <w:tc>
          <w:tcPr>
            <w:tcW w:w="141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处置或交办情况</w:t>
            </w:r>
          </w:p>
        </w:tc>
        <w:tc>
          <w:tcPr>
            <w:tcW w:w="151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b/>
                <w:bCs/>
                <w:szCs w:val="21"/>
              </w:rPr>
              <w:t>整改要求</w:t>
            </w:r>
          </w:p>
        </w:tc>
        <w:tc>
          <w:tcPr>
            <w:tcW w:w="198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目前整改进度</w:t>
            </w:r>
          </w:p>
        </w:tc>
        <w:tc>
          <w:tcPr>
            <w:tcW w:w="2013"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盯办责任部门及责任人员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农村黑臭水体</w:t>
            </w:r>
          </w:p>
        </w:tc>
        <w:tc>
          <w:tcPr>
            <w:tcW w:w="1875" w:type="dxa"/>
            <w:vAlign w:val="center"/>
          </w:tcPr>
          <w:p>
            <w:pPr>
              <w:jc w:val="center"/>
              <w:rPr>
                <w:rFonts w:ascii="仿宋_GB2312" w:hAnsi="仿宋_GB2312" w:eastAsia="仿宋_GB2312" w:cs="仿宋_GB2312"/>
                <w:szCs w:val="21"/>
              </w:rPr>
            </w:pPr>
          </w:p>
        </w:tc>
        <w:tc>
          <w:tcPr>
            <w:tcW w:w="3475" w:type="dxa"/>
            <w:vAlign w:val="center"/>
          </w:tcPr>
          <w:p>
            <w:pPr>
              <w:jc w:val="center"/>
              <w:rPr>
                <w:rFonts w:ascii="仿宋_GB2312" w:hAnsi="仿宋_GB2312" w:eastAsia="仿宋_GB2312" w:cs="仿宋_GB2312"/>
                <w:szCs w:val="21"/>
              </w:rPr>
            </w:pPr>
          </w:p>
        </w:tc>
        <w:tc>
          <w:tcPr>
            <w:tcW w:w="1417" w:type="dxa"/>
            <w:vAlign w:val="center"/>
          </w:tcPr>
          <w:p>
            <w:pPr>
              <w:jc w:val="center"/>
              <w:rPr>
                <w:rFonts w:ascii="仿宋_GB2312" w:hAnsi="仿宋_GB2312" w:eastAsia="仿宋_GB2312" w:cs="仿宋_GB2312"/>
                <w:szCs w:val="21"/>
              </w:rPr>
            </w:pPr>
          </w:p>
        </w:tc>
        <w:tc>
          <w:tcPr>
            <w:tcW w:w="1515" w:type="dxa"/>
            <w:vAlign w:val="center"/>
          </w:tcPr>
          <w:p>
            <w:pPr>
              <w:jc w:val="center"/>
              <w:rPr>
                <w:rFonts w:ascii="仿宋_GB2312" w:hAnsi="仿宋_GB2312" w:eastAsia="仿宋_GB2312" w:cs="仿宋_GB2312"/>
                <w:szCs w:val="21"/>
              </w:rPr>
            </w:pPr>
          </w:p>
        </w:tc>
        <w:tc>
          <w:tcPr>
            <w:tcW w:w="1980" w:type="dxa"/>
            <w:vAlign w:val="center"/>
          </w:tcPr>
          <w:p>
            <w:pPr>
              <w:jc w:val="center"/>
              <w:rPr>
                <w:rFonts w:ascii="仿宋_GB2312" w:hAnsi="仿宋_GB2312" w:eastAsia="仿宋_GB2312" w:cs="仿宋_GB2312"/>
                <w:szCs w:val="21"/>
              </w:rPr>
            </w:pPr>
          </w:p>
        </w:tc>
        <w:tc>
          <w:tcPr>
            <w:tcW w:w="2013" w:type="dxa"/>
            <w:vAlign w:val="center"/>
          </w:tcPr>
          <w:p>
            <w:pPr>
              <w:jc w:val="center"/>
              <w:rPr>
                <w:rFonts w:ascii="仿宋_GB2312" w:hAnsi="仿宋_GB2312" w:eastAsia="仿宋_GB2312" w:cs="仿宋_GB2312"/>
                <w:szCs w:val="21"/>
              </w:rPr>
            </w:pPr>
          </w:p>
        </w:tc>
      </w:tr>
    </w:tbl>
    <w:p>
      <w:pPr>
        <w:jc w:val="right"/>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填表人员：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Cs w:val="21"/>
        </w:rPr>
        <w:t>（单位、姓名、职务）；审核人员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Cs w:val="21"/>
        </w:rPr>
        <w:t>（单位、姓名、职务）</w:t>
      </w:r>
    </w:p>
    <w:p>
      <w:pPr>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注：1、以县为单位汇总填写，并加盖县（市）区生态环境分局公章，每月</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日前更新进展情况，未按时报送视为无进展。</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2、此表仅填写排查发现的问题。经排查未发现问题的，需注明，并加盖县（市）区生态环境分局公章。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3、工业固体废弃物排查，不仅填报问题数量，同时估算重量（单位：吨）。</w:t>
      </w:r>
    </w:p>
    <w:p>
      <w:pPr>
        <w:ind w:firstLine="840" w:firstLineChars="400"/>
        <w:rPr>
          <w:rFonts w:ascii="仿宋" w:hAnsi="仿宋" w:eastAsia="仿宋" w:cs="仿宋"/>
          <w:sz w:val="32"/>
          <w:szCs w:val="32"/>
        </w:rPr>
      </w:pPr>
      <w:r>
        <w:rPr>
          <w:rFonts w:hint="eastAsia" w:ascii="仿宋_GB2312" w:hAnsi="仿宋_GB2312" w:eastAsia="仿宋_GB2312" w:cs="仿宋_GB2312"/>
          <w:szCs w:val="21"/>
        </w:rPr>
        <w:t>4、村庄黑臭水体情况（村庄周边1公里区域内，存在异味、或颜色明显异常的水体），单独统计。</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rPr>
          <w:rFonts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69"/>
    <w:rsid w:val="00182873"/>
    <w:rsid w:val="0018671D"/>
    <w:rsid w:val="00256FEB"/>
    <w:rsid w:val="002B6F12"/>
    <w:rsid w:val="002E238E"/>
    <w:rsid w:val="002F0E28"/>
    <w:rsid w:val="002F1476"/>
    <w:rsid w:val="003445D7"/>
    <w:rsid w:val="00483B13"/>
    <w:rsid w:val="004F68E2"/>
    <w:rsid w:val="00662269"/>
    <w:rsid w:val="006E67AF"/>
    <w:rsid w:val="00825D92"/>
    <w:rsid w:val="00957BE3"/>
    <w:rsid w:val="00B4496E"/>
    <w:rsid w:val="00DC420E"/>
    <w:rsid w:val="00E673BC"/>
    <w:rsid w:val="00E95A3B"/>
    <w:rsid w:val="00EC4516"/>
    <w:rsid w:val="00FE18D4"/>
    <w:rsid w:val="05B044D5"/>
    <w:rsid w:val="06C1763E"/>
    <w:rsid w:val="0E4E268B"/>
    <w:rsid w:val="40EB06A3"/>
    <w:rsid w:val="41D91330"/>
    <w:rsid w:val="60DF03EA"/>
    <w:rsid w:val="7544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360" w:lineRule="auto"/>
      <w:ind w:firstLine="200" w:firstLineChars="200"/>
      <w:outlineLvl w:val="0"/>
    </w:pPr>
    <w:rPr>
      <w:rFonts w:eastAsia="黑体"/>
      <w:b/>
      <w:bCs/>
      <w:kern w:val="44"/>
      <w:sz w:val="28"/>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15"/>
    <w:semiHidden/>
    <w:unhideWhenUsed/>
    <w:qFormat/>
    <w:uiPriority w:val="99"/>
    <w:rPr>
      <w:b/>
      <w:bCs/>
    </w:rPr>
  </w:style>
  <w:style w:type="paragraph" w:styleId="5">
    <w:name w:val="annotation text"/>
    <w:basedOn w:val="1"/>
    <w:link w:val="14"/>
    <w:semiHidden/>
    <w:unhideWhenUsed/>
    <w:qFormat/>
    <w:uiPriority w:val="99"/>
    <w:pPr>
      <w:jc w:val="left"/>
    </w:pPr>
  </w:style>
  <w:style w:type="paragraph" w:styleId="6">
    <w:name w:val="Balloon Text"/>
    <w:basedOn w:val="1"/>
    <w:link w:val="16"/>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character" w:styleId="9">
    <w:name w:val="annotation reference"/>
    <w:basedOn w:val="8"/>
    <w:semiHidden/>
    <w:unhideWhenUsed/>
    <w:qFormat/>
    <w:uiPriority w:val="99"/>
    <w:rPr>
      <w:sz w:val="21"/>
      <w:szCs w:val="21"/>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uiPriority w:val="9"/>
    <w:rPr>
      <w:rFonts w:eastAsia="黑体"/>
      <w:b/>
      <w:bCs/>
      <w:kern w:val="44"/>
      <w:sz w:val="28"/>
      <w:szCs w:val="44"/>
    </w:rPr>
  </w:style>
  <w:style w:type="character" w:customStyle="1" w:styleId="13">
    <w:name w:val="标题 2 Char"/>
    <w:basedOn w:val="8"/>
    <w:link w:val="3"/>
    <w:qFormat/>
    <w:uiPriority w:val="9"/>
    <w:rPr>
      <w:rFonts w:asciiTheme="majorHAnsi" w:hAnsiTheme="majorHAnsi" w:eastAsiaTheme="majorEastAsia" w:cstheme="majorBidi"/>
      <w:b/>
      <w:bCs/>
      <w:sz w:val="32"/>
      <w:szCs w:val="32"/>
    </w:rPr>
  </w:style>
  <w:style w:type="character" w:customStyle="1" w:styleId="14">
    <w:name w:val="批注文字 Char"/>
    <w:basedOn w:val="8"/>
    <w:link w:val="5"/>
    <w:semiHidden/>
    <w:qFormat/>
    <w:uiPriority w:val="99"/>
  </w:style>
  <w:style w:type="character" w:customStyle="1" w:styleId="15">
    <w:name w:val="批注主题 Char"/>
    <w:basedOn w:val="14"/>
    <w:link w:val="4"/>
    <w:semiHidden/>
    <w:qFormat/>
    <w:uiPriority w:val="99"/>
    <w:rPr>
      <w:b/>
      <w:bCs/>
    </w:rPr>
  </w:style>
  <w:style w:type="character" w:customStyle="1" w:styleId="16">
    <w:name w:val="批注框文本 Char"/>
    <w:basedOn w:val="8"/>
    <w:link w:val="6"/>
    <w:semiHidden/>
    <w:qFormat/>
    <w:uiPriority w:val="99"/>
    <w:rPr>
      <w:sz w:val="18"/>
      <w:szCs w:val="18"/>
    </w:rPr>
  </w:style>
  <w:style w:type="character" w:customStyle="1" w:styleId="17">
    <w:name w:val="font11"/>
    <w:basedOn w:val="8"/>
    <w:qFormat/>
    <w:uiPriority w:val="0"/>
    <w:rPr>
      <w:rFonts w:hint="eastAsia" w:ascii="宋体" w:hAnsi="宋体" w:eastAsia="宋体" w:cs="宋体"/>
      <w:color w:val="000000"/>
      <w:sz w:val="36"/>
      <w:szCs w:val="36"/>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01"/>
    <w:basedOn w:val="8"/>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EA361-2455-4142-A11A-442FB40F0FB4}">
  <ds:schemaRefs/>
</ds:datastoreItem>
</file>

<file path=docProps/app.xml><?xml version="1.0" encoding="utf-8"?>
<Properties xmlns="http://schemas.openxmlformats.org/officeDocument/2006/extended-properties" xmlns:vt="http://schemas.openxmlformats.org/officeDocument/2006/docPropsVTypes">
  <Template>Normal</Template>
  <Pages>12</Pages>
  <Words>891</Words>
  <Characters>5082</Characters>
  <Lines>42</Lines>
  <Paragraphs>11</Paragraphs>
  <TotalTime>179</TotalTime>
  <ScaleCrop>false</ScaleCrop>
  <LinksUpToDate>false</LinksUpToDate>
  <CharactersWithSpaces>5962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2019-08-27T09:04:00Z</dcterms:created>
  <dc:creator>NTKO</dc:creator>
  <cp:lastModifiedBy>潭止</cp:lastModifiedBy>
  <cp:lastPrinted>2019-08-29T06:59:00Z</cp:lastPrinted>
  <dcterms:modified xsi:type="dcterms:W3CDTF">2019-09-03T05:56:25Z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