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唐山市生态环境局2020年部门概况及预算说明</w:t>
      </w:r>
    </w:p>
    <w:p>
      <w:pPr>
        <w:ind w:firstLine="720" w:firstLineChars="200"/>
        <w:jc w:val="center"/>
        <w:rPr>
          <w:rFonts w:hint="eastAsia" w:ascii="方正小标宋简体" w:hAnsi="方正小标宋简体" w:eastAsia="方正小标宋简体" w:cs="方正小标宋简体"/>
          <w:b/>
          <w:bCs/>
          <w:sz w:val="36"/>
          <w:szCs w:val="36"/>
        </w:rPr>
      </w:pPr>
    </w:p>
    <w:p>
      <w:pPr>
        <w:ind w:firstLine="600" w:firstLineChars="200"/>
        <w:rPr>
          <w:rFonts w:ascii="仿宋" w:hAnsi="仿宋" w:eastAsia="仿宋" w:cs="仿宋"/>
          <w:sz w:val="30"/>
          <w:szCs w:val="30"/>
        </w:rPr>
      </w:pPr>
      <w:r>
        <w:rPr>
          <w:rFonts w:hint="eastAsia" w:ascii="仿宋" w:hAnsi="仿宋" w:eastAsia="仿宋" w:cs="仿宋"/>
          <w:sz w:val="30"/>
          <w:szCs w:val="30"/>
        </w:rPr>
        <w:t>按照《预算法》、《地方预决算公开操作规程》和《预算公开办法》规定，现将2020年部门预算公开如下：</w:t>
      </w:r>
    </w:p>
    <w:p>
      <w:pPr>
        <w:numPr>
          <w:ilvl w:val="0"/>
          <w:numId w:val="1"/>
        </w:numPr>
        <w:ind w:firstLine="602" w:firstLineChars="200"/>
        <w:rPr>
          <w:b/>
          <w:bCs/>
          <w:sz w:val="30"/>
          <w:szCs w:val="30"/>
        </w:rPr>
      </w:pPr>
      <w:r>
        <w:rPr>
          <w:rFonts w:hint="eastAsia"/>
          <w:b/>
          <w:bCs/>
          <w:sz w:val="30"/>
          <w:szCs w:val="30"/>
        </w:rPr>
        <w:t>部门职责和机构设置情况</w:t>
      </w:r>
    </w:p>
    <w:p>
      <w:pPr>
        <w:ind w:firstLine="602" w:firstLineChars="200"/>
        <w:rPr>
          <w:b/>
          <w:bCs/>
          <w:sz w:val="30"/>
          <w:szCs w:val="30"/>
        </w:rPr>
      </w:pPr>
      <w:r>
        <w:rPr>
          <w:rFonts w:hint="eastAsia"/>
          <w:b/>
          <w:bCs/>
          <w:sz w:val="30"/>
          <w:szCs w:val="30"/>
        </w:rPr>
        <w:t xml:space="preserve">（一）部门职责 </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贯彻落实党中央和省委、市委关于生态环境保护工作的方针政策和决策部署，在履行职责过程中坚持和加强党对生态环境保护工作的集中统一领导。主要职责是：</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1、</w:t>
      </w:r>
      <w:r>
        <w:rPr>
          <w:rFonts w:hint="eastAsia" w:ascii="楷体" w:hAnsi="楷体" w:eastAsia="楷体" w:cs="楷体"/>
          <w:sz w:val="32"/>
          <w:szCs w:val="32"/>
        </w:rPr>
        <w:t>负责建立健全市生态环境基本制度。</w:t>
      </w:r>
      <w:r>
        <w:rPr>
          <w:rFonts w:hint="eastAsia" w:ascii="仿宋" w:hAnsi="仿宋" w:eastAsia="仿宋"/>
          <w:sz w:val="32"/>
          <w:szCs w:val="32"/>
        </w:rPr>
        <w:t>会同有关部门贯彻执行国家、省生态环境方针政策、法律、法规、规章、标准、基准和技术规范。会同有关部门拟订并组织实施全市生态环境政策、规划，起草地方性法规和规章草案。会同有关部门编制并监督实施重点区域、流域、海域、饮用水水源地生态环境规划和水功能区划。参与拟订全市主体功能区划。参与制定与全市生态环境相关的经济、技术、资源配置和产业政策。</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2、</w:t>
      </w:r>
      <w:r>
        <w:rPr>
          <w:rFonts w:hint="eastAsia" w:ascii="楷体" w:hAnsi="楷体" w:eastAsia="楷体" w:cs="楷体"/>
          <w:sz w:val="32"/>
          <w:szCs w:val="32"/>
        </w:rPr>
        <w:t>负责全市重大生态环境问题的统筹协调和监督管理。</w:t>
      </w:r>
      <w:r>
        <w:rPr>
          <w:rFonts w:hint="eastAsia" w:ascii="仿宋" w:hAnsi="仿宋" w:eastAsia="仿宋"/>
          <w:sz w:val="32"/>
          <w:szCs w:val="32"/>
        </w:rPr>
        <w:t>指导协调县（市、区）政府对突发生态环境事件的应急、预警工作。牵头实施生态环境损害赔偿制度。协调解决有关跨县（市、区）环境污染纠纷，统筹协调全市重点区域、流域、海域的生态环境保护工作。</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3、</w:t>
      </w:r>
      <w:r>
        <w:rPr>
          <w:rFonts w:hint="eastAsia" w:ascii="楷体" w:hAnsi="楷体" w:eastAsia="楷体" w:cs="楷体"/>
          <w:sz w:val="32"/>
          <w:szCs w:val="32"/>
        </w:rPr>
        <w:t>负责监督管理全市减排目标的落实。</w:t>
      </w:r>
      <w:r>
        <w:rPr>
          <w:rFonts w:hint="eastAsia" w:ascii="仿宋" w:hAnsi="仿宋" w:eastAsia="仿宋"/>
          <w:sz w:val="32"/>
          <w:szCs w:val="32"/>
        </w:rPr>
        <w:t>监督实施全市各类污染物排放总量控制、排污许可证制度，确定全市大气、水、海洋等纳污能力，提出实施总量控制的污染物名称和控制指标，监督检查各县（市、区）污染物减排工作任务完成情况，实施生态环境保护目标责任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4、</w:t>
      </w:r>
      <w:r>
        <w:rPr>
          <w:rFonts w:hint="eastAsia" w:ascii="楷体" w:hAnsi="楷体" w:eastAsia="楷体" w:cs="楷体"/>
          <w:sz w:val="32"/>
          <w:szCs w:val="32"/>
        </w:rPr>
        <w:t>参与提出全市生态环境领域固定资产投资规模和方向、市级财政性资金安排的意见</w:t>
      </w:r>
      <w:r>
        <w:rPr>
          <w:rFonts w:hint="eastAsia" w:ascii="仿宋" w:hAnsi="仿宋" w:eastAsia="仿宋"/>
          <w:sz w:val="32"/>
          <w:szCs w:val="32"/>
        </w:rPr>
        <w:t>，按市政府规定权限审批、核准全市规划内和年度计划规模内固定资产投资项目，配合有关部门做好组织实施和监督工作。</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5、</w:t>
      </w:r>
      <w:r>
        <w:rPr>
          <w:rFonts w:hint="eastAsia" w:ascii="楷体" w:hAnsi="楷体" w:eastAsia="楷体" w:cs="楷体"/>
          <w:sz w:val="32"/>
          <w:szCs w:val="32"/>
        </w:rPr>
        <w:t>负责全市环境污染防治的监督管理。</w:t>
      </w:r>
      <w:r>
        <w:rPr>
          <w:rFonts w:hint="eastAsia" w:ascii="仿宋" w:hAnsi="仿宋" w:eastAsia="仿宋"/>
          <w:sz w:val="32"/>
          <w:szCs w:val="32"/>
        </w:rPr>
        <w:t>组织制定并监督实施全市大气、水、海洋、土壤、噪声、光、恶臭、固体废物、化学品、机动车等的污染防治管理制度。监督指导农业面源污染治理工作。会同有关部门监督管理全市饮用水水源地生态环境保护工作。参与城乡生态环境综合整治和区域大气污染联防联控工作。</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6、</w:t>
      </w:r>
      <w:r>
        <w:rPr>
          <w:rFonts w:hint="eastAsia" w:ascii="楷体" w:hAnsi="楷体" w:eastAsia="楷体" w:cs="楷体"/>
          <w:sz w:val="32"/>
          <w:szCs w:val="32"/>
        </w:rPr>
        <w:t>指导协调和监督全市生态保护修复工作。</w:t>
      </w:r>
      <w:r>
        <w:rPr>
          <w:rFonts w:hint="eastAsia" w:ascii="仿宋" w:hAnsi="仿宋" w:eastAsia="仿宋"/>
          <w:sz w:val="32"/>
          <w:szCs w:val="32"/>
        </w:rPr>
        <w:t>负责组织编制并监督实施全市生态保护规划，监督对生态环境有影响的自然资源开发利用活动、重要生态环境建设和生态破坏恢复工作。负责制定全市各类自然保护地生态环境监管制度并监督执法。参与野生动植物保护、湿地生态环境保护、荒漠化防治等工作。指导协调和监督农村生态环境保护，监督生物技术环境安全，牵头生物物种（含遗传资源）工作，组织协调生物多样性保护工作，参与生态保护补偿工作。</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7、</w:t>
      </w:r>
      <w:r>
        <w:rPr>
          <w:rFonts w:hint="eastAsia" w:ascii="楷体" w:hAnsi="楷体" w:eastAsia="楷体" w:cs="楷体"/>
          <w:sz w:val="32"/>
          <w:szCs w:val="32"/>
        </w:rPr>
        <w:t>负责全市核与辐射安全的监督管理。</w:t>
      </w:r>
      <w:r>
        <w:rPr>
          <w:rFonts w:hint="eastAsia" w:ascii="仿宋" w:hAnsi="仿宋" w:eastAsia="仿宋"/>
          <w:sz w:val="32"/>
          <w:szCs w:val="32"/>
        </w:rPr>
        <w:t>起草核与辐射安全地方性法规、规章草案，并依法组织实施和监督检查。</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拟订并监督实施全市核与辐射安全政策、规划、标准。牵头负责辐射安全工作协调机制有关工作，参与核事故应急处理，负责辐射环境事故应急处理工作。监督管理放射源与射线装置安全，监督管理全市核技术应用、电磁辐射、伴有放射性矿产资源开发利用中的污染防治。参与核设施安全、核设施污染防治监督管理相关工作，参与对核材料管制和民用核安全设备设计、制造、安装及无损检验活动实施监督管理。负责核与辐射环境执法工作。</w:t>
      </w:r>
    </w:p>
    <w:p>
      <w:pPr>
        <w:spacing w:line="360" w:lineRule="auto"/>
        <w:rPr>
          <w:rFonts w:ascii="仿宋" w:hAnsi="仿宋" w:eastAsia="仿宋"/>
          <w:sz w:val="32"/>
          <w:szCs w:val="32"/>
        </w:rPr>
      </w:pPr>
      <w:r>
        <w:rPr>
          <w:rFonts w:hint="eastAsia" w:ascii="仿宋" w:hAnsi="仿宋" w:eastAsia="仿宋" w:cs="仿宋"/>
          <w:sz w:val="28"/>
          <w:szCs w:val="28"/>
        </w:rPr>
        <w:t xml:space="preserve">    8、</w:t>
      </w:r>
      <w:r>
        <w:rPr>
          <w:rFonts w:hint="eastAsia" w:ascii="楷体" w:hAnsi="楷体" w:eastAsia="楷体" w:cs="楷体"/>
          <w:sz w:val="32"/>
          <w:szCs w:val="32"/>
        </w:rPr>
        <w:t>负责全市生态环境准入的监督管理。</w:t>
      </w:r>
      <w:r>
        <w:rPr>
          <w:rFonts w:hint="eastAsia" w:ascii="仿宋" w:hAnsi="仿宋" w:eastAsia="仿宋"/>
          <w:sz w:val="32"/>
          <w:szCs w:val="32"/>
        </w:rPr>
        <w:t>受市政府委托对重大经济和技术政策、发展规划以及重大经济开发计划进行环境影响评价。按规定审查重大开发建设区域、规划环境影响评价文件。拟订并组织实施生态环境准入清单。</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9、</w:t>
      </w:r>
      <w:r>
        <w:rPr>
          <w:rFonts w:hint="eastAsia" w:ascii="楷体" w:hAnsi="楷体" w:eastAsia="楷体" w:cs="楷体"/>
          <w:sz w:val="32"/>
          <w:szCs w:val="32"/>
        </w:rPr>
        <w:t>负责全市生态环境监测工作。</w:t>
      </w:r>
      <w:r>
        <w:rPr>
          <w:rFonts w:hint="eastAsia" w:ascii="仿宋" w:hAnsi="仿宋" w:eastAsia="仿宋"/>
          <w:sz w:val="32"/>
          <w:szCs w:val="32"/>
        </w:rPr>
        <w:t>监督执行国家和省生态环境监测制度和规范。负责实施执法监测、污染源监督性监测、温室气体减排监测、应急监测。参与生态环境质量监测站点设置和生态环境质量监测。负责全市生态环境质量预警预测，组织建设和管理市生态环境监测网和生态环境信息网。负责全市生态环境统计工作，统一发布全市生态环境质量综合性报告和重大生态环境信息。</w:t>
      </w:r>
    </w:p>
    <w:p>
      <w:pPr>
        <w:spacing w:line="360" w:lineRule="auto"/>
        <w:rPr>
          <w:rFonts w:ascii="仿宋" w:hAnsi="仿宋" w:eastAsia="仿宋" w:cs="仿宋"/>
          <w:spacing w:val="2"/>
          <w:sz w:val="28"/>
          <w:szCs w:val="28"/>
        </w:rPr>
      </w:pPr>
      <w:r>
        <w:rPr>
          <w:rFonts w:hint="eastAsia" w:ascii="仿宋" w:hAnsi="仿宋" w:eastAsia="仿宋" w:cs="仿宋"/>
          <w:sz w:val="28"/>
          <w:szCs w:val="28"/>
        </w:rPr>
        <w:t xml:space="preserve">    10、</w:t>
      </w:r>
      <w:r>
        <w:rPr>
          <w:rFonts w:hint="eastAsia" w:ascii="楷体" w:hAnsi="楷体" w:eastAsia="楷体" w:cs="楷体"/>
          <w:sz w:val="32"/>
          <w:szCs w:val="32"/>
        </w:rPr>
        <w:t>负责全市应对气候变化工作。</w:t>
      </w:r>
      <w:r>
        <w:rPr>
          <w:rFonts w:hint="eastAsia" w:ascii="仿宋" w:hAnsi="仿宋" w:eastAsia="仿宋"/>
          <w:sz w:val="32"/>
          <w:szCs w:val="32"/>
        </w:rPr>
        <w:t>组织实施国家和省应对气候变化及温室气体减排规划和政策，组织拟订全市应对气候变化的规划和政策措施。</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11、</w:t>
      </w:r>
      <w:r>
        <w:rPr>
          <w:rFonts w:hint="eastAsia" w:ascii="楷体" w:hAnsi="楷体" w:eastAsia="楷体" w:cs="楷体"/>
          <w:sz w:val="32"/>
          <w:szCs w:val="32"/>
        </w:rPr>
        <w:t>组织协调生态环境保护督察工作。</w:t>
      </w:r>
      <w:r>
        <w:rPr>
          <w:rFonts w:hint="eastAsia" w:ascii="仿宋" w:hAnsi="仿宋" w:eastAsia="仿宋"/>
          <w:sz w:val="32"/>
          <w:szCs w:val="32"/>
        </w:rPr>
        <w:t>协调全市接受中央、省生态环境保护督察的相关工作。督促检查各县（市、区）、市级有关部门贯彻落实国家、省、市生态环境保护有关方针、政策、规律、法规、规章、决策部署及落实“党政同责、一岗双责”的情况。</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12、</w:t>
      </w:r>
      <w:r>
        <w:rPr>
          <w:rFonts w:hint="eastAsia" w:ascii="楷体" w:hAnsi="楷体" w:eastAsia="楷体" w:cs="楷体"/>
          <w:sz w:val="32"/>
          <w:szCs w:val="32"/>
        </w:rPr>
        <w:t>统一负责全市生态环境执法工作。</w:t>
      </w:r>
      <w:r>
        <w:rPr>
          <w:rFonts w:hint="eastAsia" w:ascii="仿宋" w:hAnsi="仿宋" w:eastAsia="仿宋"/>
          <w:sz w:val="32"/>
          <w:szCs w:val="32"/>
        </w:rPr>
        <w:t>组织开展全市生态环境保护执法检查。负责查处全市环境违法问题。监督实施建设项目环境保护设施同时设计、同时施工、同时投产使用制度。负责全市生态环境保护综合执法队伍建设和业务工作。</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13、</w:t>
      </w:r>
      <w:r>
        <w:rPr>
          <w:rFonts w:hint="eastAsia" w:ascii="楷体" w:hAnsi="楷体" w:eastAsia="楷体" w:cs="楷体"/>
          <w:sz w:val="32"/>
          <w:szCs w:val="32"/>
        </w:rPr>
        <w:t>组织指导和协调全市生态环境宣传教育工作，制定并组织实施市生态环境保护宣传有关规划和计划。</w:t>
      </w:r>
      <w:r>
        <w:rPr>
          <w:rFonts w:hint="eastAsia" w:ascii="仿宋" w:hAnsi="仿宋" w:eastAsia="仿宋"/>
          <w:sz w:val="32"/>
          <w:szCs w:val="32"/>
        </w:rPr>
        <w:t>推动社会组织和公众参与生态环境保护。开展全市生态环境科技工作，负责全市生态环境保护科技成果的管理和推广应用。组织全市生态环境重大科学研究和技术工程示范，推动生态环境技术管理体系建设。参与指导和推动循环经济与传统产业优化升级。按照职责分工组织开展全市强制性清洁生产审核工作。</w:t>
      </w:r>
    </w:p>
    <w:p>
      <w:pPr>
        <w:spacing w:line="360" w:lineRule="auto"/>
        <w:rPr>
          <w:rFonts w:ascii="仿宋" w:hAnsi="仿宋" w:eastAsia="仿宋"/>
          <w:sz w:val="32"/>
          <w:szCs w:val="32"/>
        </w:rPr>
      </w:pPr>
      <w:r>
        <w:rPr>
          <w:rFonts w:hint="eastAsia" w:ascii="仿宋" w:hAnsi="仿宋" w:eastAsia="仿宋" w:cs="仿宋"/>
          <w:sz w:val="28"/>
          <w:szCs w:val="28"/>
        </w:rPr>
        <w:t xml:space="preserve">    14、</w:t>
      </w:r>
      <w:r>
        <w:rPr>
          <w:rFonts w:hint="eastAsia" w:ascii="楷体" w:hAnsi="楷体" w:eastAsia="楷体" w:cs="楷体"/>
          <w:sz w:val="32"/>
          <w:szCs w:val="32"/>
        </w:rPr>
        <w:t>开展生态环境对外合作交流。</w:t>
      </w:r>
      <w:r>
        <w:rPr>
          <w:rFonts w:hint="eastAsia" w:ascii="仿宋" w:hAnsi="仿宋" w:eastAsia="仿宋"/>
          <w:sz w:val="32"/>
          <w:szCs w:val="32"/>
        </w:rPr>
        <w:t>参与协调市内重要生态环境保护国际活动和区域合作，管理全市生态环境系统对外合作，参与处理涉外生态环境事务。</w:t>
      </w:r>
    </w:p>
    <w:p>
      <w:pPr>
        <w:spacing w:line="570" w:lineRule="exact"/>
        <w:ind w:firstLine="640" w:firstLineChars="200"/>
        <w:rPr>
          <w:rFonts w:ascii="楷体" w:hAnsi="楷体" w:eastAsia="楷体" w:cs="楷体"/>
          <w:sz w:val="32"/>
          <w:szCs w:val="32"/>
        </w:rPr>
      </w:pPr>
      <w:r>
        <w:rPr>
          <w:rFonts w:hint="eastAsia" w:ascii="仿宋" w:hAnsi="仿宋" w:eastAsia="仿宋"/>
          <w:sz w:val="32"/>
          <w:szCs w:val="32"/>
        </w:rPr>
        <w:t>15.</w:t>
      </w:r>
      <w:r>
        <w:rPr>
          <w:rFonts w:hint="eastAsia" w:ascii="楷体" w:hAnsi="楷体" w:eastAsia="楷体" w:cs="楷体"/>
          <w:sz w:val="32"/>
          <w:szCs w:val="32"/>
        </w:rPr>
        <w:t xml:space="preserve"> 完成市委、市政府交办的其他任务。</w:t>
      </w:r>
    </w:p>
    <w:p>
      <w:pPr>
        <w:spacing w:line="360" w:lineRule="auto"/>
        <w:rPr>
          <w:b/>
          <w:bCs/>
          <w:sz w:val="30"/>
          <w:szCs w:val="30"/>
        </w:rPr>
      </w:pPr>
      <w:r>
        <w:rPr>
          <w:rFonts w:hint="eastAsia"/>
          <w:b/>
          <w:bCs/>
          <w:sz w:val="30"/>
          <w:szCs w:val="30"/>
        </w:rPr>
        <w:t>（二）机构设置情况</w:t>
      </w:r>
    </w:p>
    <w:tbl>
      <w:tblPr>
        <w:tblStyle w:val="14"/>
        <w:tblW w:w="9958" w:type="dxa"/>
        <w:jc w:val="center"/>
        <w:tblLayout w:type="fixed"/>
        <w:tblCellMar>
          <w:top w:w="15" w:type="dxa"/>
          <w:left w:w="15" w:type="dxa"/>
          <w:bottom w:w="15" w:type="dxa"/>
          <w:right w:w="15" w:type="dxa"/>
        </w:tblCellMar>
      </w:tblPr>
      <w:tblGrid>
        <w:gridCol w:w="674"/>
        <w:gridCol w:w="4469"/>
        <w:gridCol w:w="1605"/>
        <w:gridCol w:w="1605"/>
        <w:gridCol w:w="1605"/>
      </w:tblGrid>
      <w:tr>
        <w:tblPrEx>
          <w:tblCellMar>
            <w:top w:w="15" w:type="dxa"/>
            <w:left w:w="15" w:type="dxa"/>
            <w:bottom w:w="15" w:type="dxa"/>
            <w:right w:w="15" w:type="dxa"/>
          </w:tblCellMar>
        </w:tblPrEx>
        <w:trPr>
          <w:trHeight w:val="570" w:hRule="atLeast"/>
          <w:jc w:val="center"/>
        </w:trPr>
        <w:tc>
          <w:tcPr>
            <w:tcW w:w="9958" w:type="dxa"/>
            <w:gridSpan w:val="5"/>
            <w:shd w:val="clear" w:color="auto" w:fill="auto"/>
            <w:vAlign w:val="bottom"/>
          </w:tcPr>
          <w:p>
            <w:pPr>
              <w:widowControl/>
              <w:jc w:val="center"/>
              <w:textAlignment w:val="bottom"/>
              <w:rPr>
                <w:rFonts w:ascii="宋体" w:hAnsi="宋体" w:eastAsia="宋体" w:cs="宋体"/>
                <w:color w:val="000000"/>
                <w:sz w:val="32"/>
                <w:szCs w:val="32"/>
              </w:rPr>
            </w:pPr>
            <w:r>
              <w:rPr>
                <w:rFonts w:hint="eastAsia" w:ascii="宋体" w:hAnsi="宋体" w:eastAsia="宋体" w:cs="宋体"/>
                <w:color w:val="000000"/>
                <w:kern w:val="0"/>
                <w:sz w:val="32"/>
                <w:szCs w:val="32"/>
              </w:rPr>
              <w:t>部门机构设置情况</w:t>
            </w:r>
          </w:p>
        </w:tc>
      </w:tr>
      <w:tr>
        <w:tblPrEx>
          <w:tblCellMar>
            <w:top w:w="15" w:type="dxa"/>
            <w:left w:w="15" w:type="dxa"/>
            <w:bottom w:w="15" w:type="dxa"/>
            <w:right w:w="15" w:type="dxa"/>
          </w:tblCellMar>
        </w:tblPrEx>
        <w:trPr>
          <w:trHeight w:val="85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b/>
                <w:color w:val="000000"/>
                <w:sz w:val="22"/>
                <w:szCs w:val="22"/>
              </w:rPr>
            </w:pPr>
            <w:r>
              <w:rPr>
                <w:rFonts w:ascii="Microsoft Sans Serif" w:hAnsi="Microsoft Sans Serif" w:eastAsia="Microsoft Sans Serif" w:cs="Microsoft Sans Serif"/>
                <w:b/>
                <w:color w:val="000000"/>
                <w:kern w:val="0"/>
                <w:sz w:val="22"/>
                <w:szCs w:val="22"/>
              </w:rPr>
              <w:t>序号</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b/>
                <w:color w:val="000000"/>
                <w:sz w:val="22"/>
                <w:szCs w:val="22"/>
              </w:rPr>
            </w:pPr>
            <w:r>
              <w:rPr>
                <w:rFonts w:ascii="Microsoft Sans Serif" w:hAnsi="Microsoft Sans Serif" w:eastAsia="Microsoft Sans Serif" w:cs="Microsoft Sans Serif"/>
                <w:b/>
                <w:color w:val="000000"/>
                <w:kern w:val="0"/>
                <w:sz w:val="22"/>
                <w:szCs w:val="22"/>
              </w:rPr>
              <w:t>单位名称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b/>
                <w:color w:val="000000"/>
                <w:sz w:val="22"/>
                <w:szCs w:val="22"/>
              </w:rPr>
            </w:pPr>
            <w:r>
              <w:rPr>
                <w:rFonts w:ascii="Microsoft Sans Serif" w:hAnsi="Microsoft Sans Serif" w:eastAsia="Microsoft Sans Serif" w:cs="Microsoft Sans Serif"/>
                <w:b/>
                <w:color w:val="000000"/>
                <w:kern w:val="0"/>
                <w:sz w:val="22"/>
                <w:szCs w:val="22"/>
              </w:rPr>
              <w:t>单位性质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b/>
                <w:color w:val="000000"/>
                <w:sz w:val="22"/>
                <w:szCs w:val="22"/>
              </w:rPr>
            </w:pPr>
            <w:r>
              <w:rPr>
                <w:rFonts w:ascii="Microsoft Sans Serif" w:hAnsi="Microsoft Sans Serif" w:eastAsia="Microsoft Sans Serif" w:cs="Microsoft Sans Serif"/>
                <w:b/>
                <w:color w:val="000000"/>
                <w:kern w:val="0"/>
                <w:sz w:val="22"/>
                <w:szCs w:val="22"/>
              </w:rPr>
              <w:t>单位规格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经费保障形式</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w:t>
            </w:r>
            <w:r>
              <w:rPr>
                <w:rFonts w:hint="eastAsia" w:ascii="Microsoft Sans Serif" w:hAnsi="Microsoft Sans Serif" w:cs="Microsoft Sans Serif"/>
                <w:color w:val="000000"/>
                <w:kern w:val="0"/>
                <w:sz w:val="20"/>
                <w:szCs w:val="20"/>
              </w:rPr>
              <w:t>生态</w:t>
            </w:r>
            <w:r>
              <w:rPr>
                <w:rFonts w:ascii="Microsoft Sans Serif" w:hAnsi="Microsoft Sans Serif" w:eastAsia="Microsoft Sans Serif" w:cs="Microsoft Sans Serif"/>
                <w:color w:val="000000"/>
                <w:kern w:val="0"/>
                <w:sz w:val="20"/>
                <w:szCs w:val="20"/>
              </w:rPr>
              <w:t>环境局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Microsoft Sans Serif" w:hAnsi="Microsoft Sans Serif" w:eastAsia="Microsoft Sans Serif" w:cs="Microsoft Sans Serif"/>
                <w:color w:val="000000"/>
                <w:sz w:val="20"/>
                <w:szCs w:val="20"/>
              </w:rPr>
            </w:pPr>
            <w:r>
              <w:rPr>
                <w:rFonts w:hint="eastAsia" w:ascii="Microsoft Sans Serif" w:hAnsi="Microsoft Sans Serif" w:eastAsia="Microsoft Sans Serif" w:cs="Microsoft Sans Serif"/>
                <w:color w:val="000000"/>
                <w:kern w:val="0"/>
                <w:sz w:val="20"/>
                <w:szCs w:val="20"/>
              </w:rPr>
              <w:t>唐山市环境保护局环境监控指挥中心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唐山市环境工程评估中心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4</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唐山市环境执法支队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5</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唐山市环境保护局路南区分局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6</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唐山市环境保护局路北区分局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7</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唐山市环境保护局古冶区分局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8</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hint="eastAsia" w:ascii="Microsoft Sans Serif" w:hAnsi="Microsoft Sans Serif" w:eastAsia="Microsoft Sans Serif" w:cs="Microsoft Sans Serif"/>
                <w:color w:val="000000"/>
                <w:kern w:val="0"/>
                <w:sz w:val="20"/>
                <w:szCs w:val="20"/>
              </w:rPr>
              <w:t>唐山市古冶区环境监控中心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9</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hint="eastAsia" w:ascii="Microsoft Sans Serif" w:hAnsi="Microsoft Sans Serif" w:eastAsia="Microsoft Sans Serif" w:cs="Microsoft Sans Serif"/>
                <w:color w:val="000000"/>
                <w:kern w:val="0"/>
                <w:sz w:val="20"/>
                <w:szCs w:val="20"/>
              </w:rPr>
              <w:t>唐山市生态环境局开平区分局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10</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唐山市环境保护局丰润区分局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11</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唐山市丰润区环境监控中心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12</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唐山市丰润区环境执法大队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13</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hint="eastAsia" w:ascii="Microsoft Sans Serif" w:hAnsi="Microsoft Sans Serif" w:eastAsia="Microsoft Sans Serif" w:cs="Microsoft Sans Serif"/>
                <w:color w:val="000000"/>
                <w:kern w:val="0"/>
                <w:sz w:val="20"/>
                <w:szCs w:val="20"/>
              </w:rPr>
              <w:t>唐山市路南区环境执法大队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14</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hint="eastAsia" w:ascii="Microsoft Sans Serif" w:hAnsi="Microsoft Sans Serif" w:eastAsia="Microsoft Sans Serif" w:cs="Microsoft Sans Serif"/>
                <w:color w:val="000000"/>
                <w:kern w:val="0"/>
                <w:sz w:val="20"/>
                <w:szCs w:val="20"/>
              </w:rPr>
              <w:t>路北区生态环境综合执法大队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15</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hint="eastAsia" w:ascii="Microsoft Sans Serif" w:hAnsi="Microsoft Sans Serif" w:eastAsia="Microsoft Sans Serif" w:cs="Microsoft Sans Serif"/>
                <w:color w:val="000000"/>
                <w:kern w:val="0"/>
                <w:sz w:val="20"/>
                <w:szCs w:val="20"/>
              </w:rPr>
              <w:t>唐山市古冶区环境执法大队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16</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hint="eastAsia" w:ascii="Microsoft Sans Serif" w:hAnsi="Microsoft Sans Serif" w:eastAsia="Microsoft Sans Serif" w:cs="Microsoft Sans Serif"/>
                <w:color w:val="000000"/>
                <w:kern w:val="0"/>
                <w:sz w:val="20"/>
                <w:szCs w:val="20"/>
              </w:rPr>
              <w:t>唐山市开平区环境执法大队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17</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唐山市环境监控中心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18</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唐山市环境保护局高新技术产业开发区分局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19</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唐山市环境保护局海港经济开发区分局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20</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唐山市环境保护局唐山国际旅游岛分局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21</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唐山市环境保护局芦台经济开发区分局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22</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唐山市环境保护局汉沽管理区分局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23</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唐山市环境保护局丰南区分局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24</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Microsoft Sans Serif" w:hAnsi="Microsoft Sans Serif" w:eastAsia="Microsoft Sans Serif" w:cs="Microsoft Sans Serif"/>
                <w:color w:val="000000"/>
                <w:kern w:val="0"/>
                <w:sz w:val="20"/>
                <w:szCs w:val="20"/>
              </w:rPr>
              <w:t>唐山市丰南区环境监控中心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25</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唐山市环境保护局遵化市分局机关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26</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唐山市环境保护局遵化市分局全额事业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27</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唐山市环境保护局迁安市分局机关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28</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唐山市环境保护局迁安市分局全额事业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29</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唐山市环境保护局曹妃甸区分局机关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30</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唐山市环境保护局曹妃甸区分局全额事业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31</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唐山市环境保护局玉田县分局机关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32</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唐山市环境保护局玉田县分局全额事业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33</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唐山市环境保护局乐亭县分局机关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34</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唐山市环境保护局乐亭县分局全额事业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35</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唐山市环境保护局滦</w:t>
            </w:r>
            <w:r>
              <w:rPr>
                <w:rFonts w:hint="eastAsia" w:ascii="Microsoft Sans Serif" w:hAnsi="Microsoft Sans Serif" w:cs="Microsoft Sans Serif"/>
                <w:color w:val="000000"/>
                <w:kern w:val="0"/>
                <w:sz w:val="20"/>
                <w:szCs w:val="20"/>
              </w:rPr>
              <w:t>州市</w:t>
            </w:r>
            <w:r>
              <w:rPr>
                <w:rFonts w:ascii="Microsoft Sans Serif" w:hAnsi="Microsoft Sans Serif" w:eastAsia="Microsoft Sans Serif" w:cs="Microsoft Sans Serif"/>
                <w:color w:val="000000"/>
                <w:kern w:val="0"/>
                <w:sz w:val="20"/>
                <w:szCs w:val="20"/>
              </w:rPr>
              <w:t>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36</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唐山市环境保护局滦州市分局全额事业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37</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唐山市环境保护局滦南县分局机关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38</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唐山市环境保护局滦南县分局全额事业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39</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唐山市环境保护局迁西县分局机关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40</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唐山市环境保护局迁西县分局全额事业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41</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高新技术产业开发区生态环综合执法大队境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42</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Microsoft Sans Serif" w:hAnsi="Microsoft Sans Serif" w:eastAsia="Microsoft Sans Serif" w:cs="Microsoft Sans Serif"/>
                <w:color w:val="000000"/>
                <w:sz w:val="20"/>
                <w:szCs w:val="20"/>
              </w:rPr>
            </w:pPr>
            <w:r>
              <w:rPr>
                <w:rFonts w:hint="eastAsia" w:ascii="Microsoft Sans Serif" w:hAnsi="Microsoft Sans Serif" w:eastAsia="Microsoft Sans Serif" w:cs="Microsoft Sans Serif"/>
                <w:color w:val="000000"/>
                <w:kern w:val="0"/>
                <w:sz w:val="20"/>
                <w:szCs w:val="20"/>
              </w:rPr>
              <w:t>唐山市丰南区生态环境综合执法大队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bl>
    <w:p>
      <w:pPr>
        <w:ind w:firstLine="602" w:firstLineChars="200"/>
        <w:rPr>
          <w:b/>
          <w:bCs/>
          <w:sz w:val="30"/>
          <w:szCs w:val="30"/>
        </w:rPr>
      </w:pPr>
    </w:p>
    <w:p>
      <w:pPr>
        <w:numPr>
          <w:ilvl w:val="0"/>
          <w:numId w:val="2"/>
        </w:numPr>
        <w:ind w:firstLine="602" w:firstLineChars="200"/>
        <w:rPr>
          <w:b/>
          <w:bCs/>
          <w:sz w:val="30"/>
          <w:szCs w:val="30"/>
        </w:rPr>
      </w:pPr>
      <w:r>
        <w:rPr>
          <w:rFonts w:hint="eastAsia"/>
          <w:b/>
          <w:bCs/>
          <w:sz w:val="30"/>
          <w:szCs w:val="30"/>
        </w:rPr>
        <w:t>部门预算安排总体情况</w:t>
      </w:r>
    </w:p>
    <w:p>
      <w:pPr>
        <w:pStyle w:val="17"/>
        <w:ind w:firstLine="600"/>
        <w:rPr>
          <w:rFonts w:ascii="仿宋" w:hAnsi="仿宋" w:eastAsia="仿宋" w:cs="仿宋"/>
          <w:sz w:val="30"/>
          <w:szCs w:val="30"/>
        </w:rPr>
      </w:pPr>
      <w:r>
        <w:rPr>
          <w:rFonts w:ascii="仿宋" w:hAnsi="仿宋" w:eastAsia="仿宋" w:cs="仿宋"/>
          <w:sz w:val="30"/>
          <w:szCs w:val="30"/>
        </w:rPr>
        <w:t>按照预算管理有关规定，目前</w:t>
      </w:r>
      <w:r>
        <w:rPr>
          <w:rFonts w:hint="eastAsia" w:ascii="仿宋" w:hAnsi="仿宋" w:eastAsia="仿宋" w:cs="仿宋"/>
          <w:sz w:val="30"/>
          <w:szCs w:val="30"/>
        </w:rPr>
        <w:t>我市</w:t>
      </w:r>
      <w:r>
        <w:rPr>
          <w:rFonts w:ascii="仿宋" w:hAnsi="仿宋" w:eastAsia="仿宋" w:cs="仿宋"/>
          <w:sz w:val="30"/>
          <w:szCs w:val="30"/>
        </w:rPr>
        <w:t>部门预算的编制实行综合预算制度，即全部收入和支出都反映</w:t>
      </w:r>
      <w:r>
        <w:rPr>
          <w:rFonts w:hint="eastAsia" w:ascii="仿宋" w:hAnsi="仿宋" w:eastAsia="仿宋" w:cs="仿宋"/>
          <w:sz w:val="30"/>
          <w:szCs w:val="30"/>
        </w:rPr>
        <w:t>在</w:t>
      </w:r>
      <w:r>
        <w:rPr>
          <w:rFonts w:ascii="仿宋" w:hAnsi="仿宋" w:eastAsia="仿宋" w:cs="仿宋"/>
          <w:sz w:val="30"/>
          <w:szCs w:val="30"/>
        </w:rPr>
        <w:t>预算中。</w:t>
      </w:r>
      <w:r>
        <w:rPr>
          <w:rFonts w:hint="eastAsia" w:ascii="仿宋" w:hAnsi="仿宋" w:eastAsia="仿宋" w:cs="仿宋"/>
          <w:sz w:val="30"/>
          <w:szCs w:val="30"/>
        </w:rPr>
        <w:t>唐山市生态环境局</w:t>
      </w:r>
      <w:r>
        <w:rPr>
          <w:rFonts w:ascii="仿宋" w:hAnsi="仿宋" w:eastAsia="仿宋" w:cs="仿宋"/>
          <w:sz w:val="30"/>
          <w:szCs w:val="30"/>
        </w:rPr>
        <w:t>及所属事业单位的收支包含在部门预算中。</w:t>
      </w:r>
    </w:p>
    <w:p>
      <w:pPr>
        <w:numPr>
          <w:ilvl w:val="0"/>
          <w:numId w:val="3"/>
        </w:numPr>
        <w:ind w:firstLine="602" w:firstLineChars="200"/>
        <w:rPr>
          <w:b/>
          <w:bCs/>
          <w:sz w:val="30"/>
          <w:szCs w:val="30"/>
        </w:rPr>
      </w:pPr>
      <w:r>
        <w:rPr>
          <w:rFonts w:hint="eastAsia"/>
          <w:b/>
          <w:bCs/>
          <w:sz w:val="30"/>
          <w:szCs w:val="30"/>
        </w:rPr>
        <w:t>收入说明</w:t>
      </w:r>
    </w:p>
    <w:p>
      <w:pPr>
        <w:ind w:firstLine="600" w:firstLineChars="200"/>
        <w:rPr>
          <w:rFonts w:ascii="仿宋" w:hAnsi="仿宋" w:eastAsia="仿宋" w:cs="仿宋"/>
          <w:sz w:val="30"/>
          <w:szCs w:val="30"/>
        </w:rPr>
      </w:pPr>
      <w:r>
        <w:rPr>
          <w:rFonts w:hint="eastAsia" w:ascii="仿宋" w:hAnsi="仿宋" w:eastAsia="仿宋" w:cs="仿宋"/>
          <w:sz w:val="30"/>
          <w:szCs w:val="30"/>
        </w:rPr>
        <w:t>2020年我部门预算收入</w:t>
      </w:r>
      <w:r>
        <w:rPr>
          <w:rFonts w:ascii="仿宋" w:hAnsi="仿宋" w:eastAsia="仿宋" w:cs="仿宋"/>
          <w:sz w:val="30"/>
          <w:szCs w:val="30"/>
        </w:rPr>
        <w:t>30888.56</w:t>
      </w:r>
      <w:r>
        <w:rPr>
          <w:rFonts w:hint="eastAsia" w:ascii="仿宋" w:hAnsi="仿宋" w:eastAsia="仿宋" w:cs="仿宋"/>
          <w:sz w:val="30"/>
          <w:szCs w:val="30"/>
        </w:rPr>
        <w:t>万元（全部为财政拨款收入），其中：一般公共预算拨款</w:t>
      </w:r>
      <w:r>
        <w:rPr>
          <w:rFonts w:ascii="仿宋" w:hAnsi="仿宋" w:eastAsia="仿宋" w:cs="仿宋"/>
          <w:sz w:val="30"/>
          <w:szCs w:val="30"/>
        </w:rPr>
        <w:t>30</w:t>
      </w:r>
      <w:r>
        <w:rPr>
          <w:rFonts w:hint="eastAsia" w:ascii="仿宋" w:hAnsi="仿宋" w:eastAsia="仿宋" w:cs="仿宋"/>
          <w:sz w:val="30"/>
          <w:szCs w:val="30"/>
        </w:rPr>
        <w:t>090.12万元，政府性基金预算收入0万元，国有资本经营预算收入0万元。罚没收入798.44万元。</w:t>
      </w:r>
    </w:p>
    <w:p>
      <w:pPr>
        <w:numPr>
          <w:ilvl w:val="0"/>
          <w:numId w:val="3"/>
        </w:numPr>
        <w:ind w:firstLine="602" w:firstLineChars="200"/>
        <w:rPr>
          <w:b/>
          <w:bCs/>
          <w:sz w:val="30"/>
          <w:szCs w:val="30"/>
        </w:rPr>
      </w:pPr>
      <w:r>
        <w:rPr>
          <w:rFonts w:hint="eastAsia"/>
          <w:b/>
          <w:bCs/>
          <w:sz w:val="30"/>
          <w:szCs w:val="30"/>
        </w:rPr>
        <w:t>支出说明</w:t>
      </w:r>
    </w:p>
    <w:p>
      <w:pPr>
        <w:ind w:firstLine="600" w:firstLineChars="200"/>
        <w:rPr>
          <w:rFonts w:ascii="仿宋" w:hAnsi="仿宋" w:eastAsia="仿宋" w:cs="仿宋"/>
          <w:sz w:val="30"/>
          <w:szCs w:val="30"/>
        </w:rPr>
      </w:pPr>
      <w:r>
        <w:rPr>
          <w:rFonts w:hint="eastAsia" w:ascii="仿宋" w:hAnsi="仿宋" w:eastAsia="仿宋" w:cs="仿宋"/>
          <w:sz w:val="30"/>
          <w:szCs w:val="30"/>
        </w:rPr>
        <w:t>2020年我部门预算支出</w:t>
      </w:r>
      <w:r>
        <w:rPr>
          <w:rFonts w:ascii="仿宋" w:hAnsi="仿宋" w:eastAsia="仿宋" w:cs="仿宋"/>
          <w:sz w:val="30"/>
          <w:szCs w:val="30"/>
        </w:rPr>
        <w:t>30888.56</w:t>
      </w:r>
      <w:r>
        <w:rPr>
          <w:rFonts w:hint="eastAsia" w:ascii="仿宋" w:hAnsi="仿宋" w:eastAsia="仿宋" w:cs="仿宋"/>
          <w:sz w:val="30"/>
          <w:szCs w:val="30"/>
        </w:rPr>
        <w:t>万元，其中：基本支出</w:t>
      </w:r>
      <w:r>
        <w:rPr>
          <w:rFonts w:ascii="仿宋" w:hAnsi="仿宋" w:eastAsia="仿宋" w:cs="仿宋"/>
          <w:sz w:val="30"/>
          <w:szCs w:val="30"/>
        </w:rPr>
        <w:t>18862.36</w:t>
      </w:r>
      <w:r>
        <w:rPr>
          <w:rFonts w:hint="eastAsia" w:ascii="仿宋" w:hAnsi="仿宋" w:eastAsia="仿宋" w:cs="仿宋"/>
          <w:sz w:val="30"/>
          <w:szCs w:val="30"/>
        </w:rPr>
        <w:t>万元，包括人员经费12510.4万元，公用经费</w:t>
      </w:r>
      <w:r>
        <w:rPr>
          <w:rFonts w:ascii="仿宋" w:hAnsi="仿宋" w:eastAsia="仿宋" w:cs="仿宋"/>
          <w:sz w:val="30"/>
          <w:szCs w:val="30"/>
        </w:rPr>
        <w:t>6351.9</w:t>
      </w:r>
      <w:r>
        <w:rPr>
          <w:rFonts w:hint="eastAsia" w:ascii="仿宋" w:hAnsi="仿宋" w:eastAsia="仿宋" w:cs="仿宋"/>
          <w:sz w:val="30"/>
          <w:szCs w:val="30"/>
        </w:rPr>
        <w:t>6万元；专项项目支出12026.2万元。</w:t>
      </w:r>
    </w:p>
    <w:p>
      <w:pPr>
        <w:numPr>
          <w:ilvl w:val="0"/>
          <w:numId w:val="3"/>
        </w:numPr>
        <w:ind w:firstLine="602" w:firstLineChars="200"/>
        <w:rPr>
          <w:b/>
          <w:bCs/>
          <w:sz w:val="30"/>
          <w:szCs w:val="30"/>
        </w:rPr>
      </w:pPr>
      <w:r>
        <w:rPr>
          <w:rFonts w:hint="eastAsia"/>
          <w:b/>
          <w:bCs/>
          <w:sz w:val="30"/>
          <w:szCs w:val="30"/>
        </w:rPr>
        <w:t>比上年增减情况</w:t>
      </w:r>
    </w:p>
    <w:p>
      <w:pPr>
        <w:ind w:firstLine="600" w:firstLineChars="200"/>
        <w:rPr>
          <w:rFonts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2020年，部门预算收支安排</w:t>
      </w:r>
      <w:r>
        <w:rPr>
          <w:rFonts w:ascii="仿宋" w:hAnsi="仿宋" w:eastAsia="仿宋" w:cs="仿宋"/>
          <w:kern w:val="2"/>
          <w:sz w:val="30"/>
          <w:szCs w:val="30"/>
          <w:lang w:val="en-US" w:eastAsia="zh-CN" w:bidi="ar-SA"/>
        </w:rPr>
        <w:t>3</w:t>
      </w:r>
      <w:r>
        <w:rPr>
          <w:rFonts w:hint="eastAsia" w:ascii="仿宋" w:hAnsi="仿宋" w:eastAsia="仿宋" w:cs="仿宋"/>
          <w:kern w:val="2"/>
          <w:sz w:val="30"/>
          <w:szCs w:val="30"/>
          <w:lang w:val="en-US" w:eastAsia="zh-CN" w:bidi="ar-SA"/>
        </w:rPr>
        <w:t>0888.56万元，较2019年增长60.69万元，其中：基本支出增加358.74万元，主要是环保系统垂直管理后，新增了下属分局以及新招录了事业单位工作人员和新增转业干部，新增的分局公用经费由市财政统一保障；项目支出减少419.40万元，主要原因是唐山市监控中心减少了项目预算以及市生态环境局减少了水污染防治项目资金。</w:t>
      </w:r>
    </w:p>
    <w:p>
      <w:pPr>
        <w:numPr>
          <w:ilvl w:val="0"/>
          <w:numId w:val="4"/>
        </w:numPr>
        <w:ind w:firstLine="602" w:firstLineChars="200"/>
        <w:rPr>
          <w:b/>
          <w:bCs/>
          <w:sz w:val="30"/>
          <w:szCs w:val="30"/>
        </w:rPr>
      </w:pPr>
      <w:r>
        <w:rPr>
          <w:rFonts w:hint="eastAsia"/>
          <w:b/>
          <w:bCs/>
          <w:sz w:val="30"/>
          <w:szCs w:val="30"/>
        </w:rPr>
        <w:t>机关运行经费安排情况</w:t>
      </w:r>
    </w:p>
    <w:p>
      <w:pPr>
        <w:spacing w:line="560" w:lineRule="exact"/>
        <w:ind w:firstLine="600" w:firstLineChars="200"/>
        <w:rPr>
          <w:rFonts w:ascii="仿宋" w:hAnsi="仿宋" w:eastAsia="仿宋" w:cs="仿宋"/>
          <w:sz w:val="32"/>
          <w:szCs w:val="32"/>
        </w:rPr>
      </w:pPr>
      <w:r>
        <w:rPr>
          <w:rFonts w:hint="eastAsia" w:ascii="仿宋" w:hAnsi="仿宋" w:eastAsia="仿宋" w:cs="仿宋"/>
          <w:sz w:val="30"/>
          <w:szCs w:val="30"/>
        </w:rPr>
        <w:t>2020年我部门运行经费预算为6351.96万元。</w:t>
      </w:r>
      <w:r>
        <w:rPr>
          <w:rFonts w:hint="eastAsia" w:ascii="仿宋" w:hAnsi="仿宋" w:eastAsia="仿宋" w:cs="仿宋"/>
          <w:sz w:val="32"/>
          <w:szCs w:val="32"/>
        </w:rPr>
        <w:t>机关运行经费是指各部门的公用经费，主要包括办公费、印刷费、邮电费、差旅费、会议费、福利费、日常维修费、专用材料及一般设备购置费、办公用房水电费、办公用房取暖费、办公用房物业管理费、公务用车运行维护费以及其他费用等。</w:t>
      </w:r>
    </w:p>
    <w:p>
      <w:pPr>
        <w:numPr>
          <w:ilvl w:val="0"/>
          <w:numId w:val="4"/>
        </w:numPr>
        <w:ind w:firstLine="602" w:firstLineChars="200"/>
        <w:rPr>
          <w:b/>
          <w:bCs/>
          <w:sz w:val="30"/>
          <w:szCs w:val="30"/>
        </w:rPr>
      </w:pPr>
      <w:r>
        <w:rPr>
          <w:rFonts w:hint="eastAsia"/>
          <w:b/>
          <w:bCs/>
          <w:sz w:val="30"/>
          <w:szCs w:val="30"/>
        </w:rPr>
        <w:t>财政拨款“三公”经费预算情况及增加变化原因</w:t>
      </w:r>
    </w:p>
    <w:p>
      <w:pPr>
        <w:ind w:firstLine="600" w:firstLineChars="200"/>
        <w:rPr>
          <w:rFonts w:ascii="仿宋" w:hAnsi="仿宋" w:eastAsia="仿宋" w:cs="仿宋"/>
          <w:sz w:val="30"/>
          <w:szCs w:val="30"/>
        </w:rPr>
      </w:pPr>
      <w:r>
        <w:rPr>
          <w:rFonts w:hint="eastAsia" w:ascii="仿宋" w:hAnsi="仿宋" w:eastAsia="仿宋" w:cs="仿宋"/>
          <w:sz w:val="30"/>
          <w:szCs w:val="30"/>
        </w:rPr>
        <w:t>2020年，财政拨款“三公”经费预算安排453.58万元，其中:无因公出国（境）费；公务车购置费208.88万元；公务用车运行维护费228.16万元；公务接待费16.54万元。</w:t>
      </w:r>
    </w:p>
    <w:p>
      <w:pPr>
        <w:ind w:firstLine="600" w:firstLineChars="200"/>
        <w:rPr>
          <w:rFonts w:ascii="仿宋" w:hAnsi="仿宋" w:eastAsia="仿宋" w:cs="仿宋"/>
          <w:sz w:val="30"/>
          <w:szCs w:val="30"/>
        </w:rPr>
      </w:pPr>
      <w:r>
        <w:rPr>
          <w:rFonts w:hint="eastAsia" w:ascii="仿宋" w:hAnsi="仿宋" w:eastAsia="仿宋" w:cs="仿宋"/>
          <w:sz w:val="30"/>
          <w:szCs w:val="30"/>
        </w:rPr>
        <w:t>2020年我局“三公”经费预算较2019年预算共计增加</w:t>
      </w:r>
      <w:r>
        <w:rPr>
          <w:rFonts w:hint="eastAsia" w:ascii="仿宋" w:hAnsi="仿宋" w:eastAsia="仿宋" w:cs="仿宋"/>
          <w:sz w:val="30"/>
          <w:szCs w:val="30"/>
          <w:lang w:val="en-US" w:eastAsia="zh-CN"/>
        </w:rPr>
        <w:t>109.75</w:t>
      </w:r>
      <w:r>
        <w:rPr>
          <w:rFonts w:hint="eastAsia" w:ascii="仿宋" w:hAnsi="仿宋" w:eastAsia="仿宋" w:cs="仿宋"/>
          <w:sz w:val="30"/>
          <w:szCs w:val="30"/>
        </w:rPr>
        <w:t>万元。其中：公务用车运行维护费较2019年预算减少</w:t>
      </w:r>
      <w:r>
        <w:rPr>
          <w:rFonts w:hint="eastAsia" w:ascii="仿宋" w:hAnsi="仿宋" w:eastAsia="仿宋" w:cs="仿宋"/>
          <w:sz w:val="30"/>
          <w:szCs w:val="30"/>
          <w:lang w:val="en-US" w:eastAsia="zh-CN"/>
        </w:rPr>
        <w:t>60.24</w:t>
      </w:r>
      <w:r>
        <w:rPr>
          <w:rFonts w:hint="eastAsia" w:ascii="仿宋" w:hAnsi="仿宋" w:eastAsia="仿宋" w:cs="仿宋"/>
          <w:sz w:val="30"/>
          <w:szCs w:val="30"/>
        </w:rPr>
        <w:t>万元；公务接待费较2019年预算增加1.11万元。主要原因是2020年环保系统垂直管理后，新增了19个下属分局同时招录了部分事业单位人员及安排了若干名转业干部，新增的19个分局的“三公经费”均由市财政统一保障；因公出国（境）费为0，公务车购置费为208.88万元。</w:t>
      </w:r>
    </w:p>
    <w:p>
      <w:pPr>
        <w:numPr>
          <w:ilvl w:val="0"/>
          <w:numId w:val="4"/>
        </w:numPr>
        <w:ind w:firstLine="602" w:firstLineChars="200"/>
        <w:rPr>
          <w:b/>
          <w:bCs/>
          <w:sz w:val="30"/>
          <w:szCs w:val="30"/>
        </w:rPr>
      </w:pPr>
      <w:r>
        <w:rPr>
          <w:rFonts w:hint="eastAsia"/>
          <w:b/>
          <w:bCs/>
          <w:sz w:val="30"/>
          <w:szCs w:val="30"/>
        </w:rPr>
        <w:t>绩效预算信息情况</w:t>
      </w:r>
    </w:p>
    <w:p>
      <w:pPr>
        <w:ind w:firstLine="602" w:firstLineChars="200"/>
        <w:rPr>
          <w:b/>
          <w:bCs/>
          <w:sz w:val="30"/>
          <w:szCs w:val="30"/>
        </w:rPr>
      </w:pPr>
      <w:r>
        <w:rPr>
          <w:rFonts w:hint="eastAsia"/>
          <w:b/>
          <w:bCs/>
          <w:sz w:val="30"/>
          <w:szCs w:val="30"/>
        </w:rPr>
        <w:t>总体绩效目标</w:t>
      </w:r>
    </w:p>
    <w:p>
      <w:pPr>
        <w:spacing w:line="570" w:lineRule="exact"/>
        <w:ind w:firstLine="640" w:firstLineChars="200"/>
        <w:rPr>
          <w:rFonts w:ascii="楷体" w:hAnsi="楷体" w:eastAsia="楷体" w:cs="楷体"/>
          <w:sz w:val="32"/>
          <w:szCs w:val="32"/>
        </w:rPr>
      </w:pPr>
      <w:r>
        <w:rPr>
          <w:rFonts w:hint="eastAsia" w:ascii="楷体" w:hAnsi="楷体" w:eastAsia="楷体" w:cs="楷体"/>
          <w:sz w:val="32"/>
          <w:szCs w:val="32"/>
        </w:rPr>
        <w:t>（一）大气污染防治工作</w:t>
      </w:r>
    </w:p>
    <w:p>
      <w:pPr>
        <w:spacing w:line="570" w:lineRule="exact"/>
        <w:ind w:firstLine="562" w:firstLineChars="200"/>
        <w:rPr>
          <w:rFonts w:ascii="Times New Roman" w:hAnsi="Times New Roman" w:eastAsia="仿宋_GB2312"/>
          <w:sz w:val="32"/>
          <w:szCs w:val="32"/>
        </w:rPr>
      </w:pPr>
      <w:r>
        <w:rPr>
          <w:rFonts w:ascii="仿宋_GB2312" w:hAnsi="仿宋_GB2312" w:eastAsia="仿宋_GB2312" w:cs="仿宋_GB2312"/>
          <w:b/>
          <w:bCs/>
          <w:sz w:val="28"/>
          <w:szCs w:val="28"/>
        </w:rPr>
        <w:t>1.</w:t>
      </w:r>
      <w:r>
        <w:rPr>
          <w:rFonts w:hint="eastAsia" w:ascii="仿宋_GB2312" w:hAnsi="Times New Roman" w:eastAsia="仿宋_GB2312"/>
          <w:b/>
          <w:bCs/>
          <w:sz w:val="32"/>
          <w:szCs w:val="32"/>
        </w:rPr>
        <w:t xml:space="preserve"> 去产能。</w:t>
      </w:r>
      <w:r>
        <w:rPr>
          <w:rFonts w:hint="eastAsia" w:ascii="Times New Roman" w:hAnsi="Times New Roman" w:eastAsia="仿宋_GB2312"/>
          <w:sz w:val="32"/>
          <w:szCs w:val="32"/>
        </w:rPr>
        <w:t>进一步细化</w:t>
      </w:r>
      <w:r>
        <w:rPr>
          <w:rFonts w:ascii="Times New Roman" w:hAnsi="Times New Roman" w:eastAsia="仿宋_GB2312"/>
          <w:sz w:val="32"/>
          <w:szCs w:val="32"/>
        </w:rPr>
        <w:t>2020</w:t>
      </w:r>
      <w:r>
        <w:rPr>
          <w:rFonts w:hint="eastAsia" w:ascii="Times New Roman" w:hAnsi="Times New Roman" w:eastAsia="仿宋_GB2312"/>
          <w:sz w:val="32"/>
          <w:szCs w:val="32"/>
        </w:rPr>
        <w:t>年度钢铁行业去产能方案，依法依规依程序推动过剩产能退出市场，确保完成全年省达压减钢铁产能任务；淘汰</w:t>
      </w:r>
      <w:r>
        <w:rPr>
          <w:rFonts w:ascii="Times New Roman" w:hAnsi="Times New Roman" w:eastAsia="仿宋_GB2312"/>
          <w:sz w:val="32"/>
          <w:szCs w:val="32"/>
        </w:rPr>
        <w:t>1000</w:t>
      </w:r>
      <w:r>
        <w:rPr>
          <w:rFonts w:hint="eastAsia" w:ascii="Times New Roman" w:hAnsi="Times New Roman" w:eastAsia="仿宋_GB2312"/>
          <w:sz w:val="32"/>
          <w:szCs w:val="32"/>
        </w:rPr>
        <w:t>立方米以下高炉、</w:t>
      </w:r>
      <w:r>
        <w:rPr>
          <w:rFonts w:ascii="Times New Roman" w:hAnsi="Times New Roman" w:eastAsia="仿宋_GB2312"/>
          <w:sz w:val="32"/>
          <w:szCs w:val="32"/>
        </w:rPr>
        <w:t>100</w:t>
      </w:r>
      <w:r>
        <w:rPr>
          <w:rFonts w:hint="eastAsia" w:ascii="Times New Roman" w:hAnsi="Times New Roman" w:eastAsia="仿宋_GB2312"/>
          <w:sz w:val="32"/>
          <w:szCs w:val="32"/>
        </w:rPr>
        <w:t>吨以下转炉和</w:t>
      </w:r>
      <w:r>
        <w:rPr>
          <w:rFonts w:ascii="Times New Roman" w:hAnsi="Times New Roman" w:eastAsia="仿宋_GB2312"/>
          <w:sz w:val="32"/>
          <w:szCs w:val="32"/>
        </w:rPr>
        <w:t>180</w:t>
      </w:r>
      <w:r>
        <w:rPr>
          <w:rFonts w:hint="eastAsia" w:ascii="Times New Roman" w:hAnsi="Times New Roman" w:eastAsia="仿宋_GB2312"/>
          <w:sz w:val="32"/>
          <w:szCs w:val="32"/>
        </w:rPr>
        <w:t>平方米以下烧结机，钢铁产能控制在</w:t>
      </w:r>
      <w:r>
        <w:rPr>
          <w:rFonts w:ascii="Times New Roman" w:hAnsi="Times New Roman" w:eastAsia="仿宋_GB2312"/>
          <w:sz w:val="32"/>
          <w:szCs w:val="32"/>
        </w:rPr>
        <w:t>1</w:t>
      </w:r>
      <w:r>
        <w:rPr>
          <w:rFonts w:hint="eastAsia" w:ascii="Times New Roman" w:hAnsi="Times New Roman" w:eastAsia="仿宋_GB2312"/>
          <w:sz w:val="32"/>
          <w:szCs w:val="32"/>
        </w:rPr>
        <w:t>亿吨左右；淘汰陡河发电厂火电燃煤机组</w:t>
      </w:r>
      <w:r>
        <w:rPr>
          <w:rFonts w:ascii="Times New Roman" w:hAnsi="Times New Roman" w:eastAsia="仿宋_GB2312"/>
          <w:sz w:val="32"/>
          <w:szCs w:val="32"/>
        </w:rPr>
        <w:t>130</w:t>
      </w:r>
      <w:r>
        <w:rPr>
          <w:rFonts w:hint="eastAsia" w:ascii="Times New Roman" w:hAnsi="Times New Roman" w:eastAsia="仿宋_GB2312"/>
          <w:sz w:val="32"/>
          <w:szCs w:val="32"/>
        </w:rPr>
        <w:t>万千瓦时；淘汰</w:t>
      </w:r>
      <w:r>
        <w:rPr>
          <w:rFonts w:ascii="Times New Roman" w:hAnsi="Times New Roman" w:eastAsia="仿宋_GB2312"/>
          <w:sz w:val="32"/>
          <w:szCs w:val="32"/>
        </w:rPr>
        <w:t>5.5</w:t>
      </w:r>
      <w:r>
        <w:rPr>
          <w:rFonts w:hint="eastAsia" w:ascii="Times New Roman" w:hAnsi="Times New Roman" w:eastAsia="仿宋_GB2312"/>
          <w:sz w:val="32"/>
          <w:szCs w:val="32"/>
        </w:rPr>
        <w:t>米以下炭化室焦炉；全市水泥企业减少到</w:t>
      </w:r>
      <w:r>
        <w:rPr>
          <w:rFonts w:ascii="Times New Roman" w:hAnsi="Times New Roman" w:eastAsia="仿宋_GB2312"/>
          <w:sz w:val="32"/>
          <w:szCs w:val="32"/>
        </w:rPr>
        <w:t>40</w:t>
      </w:r>
      <w:r>
        <w:rPr>
          <w:rFonts w:hint="eastAsia" w:ascii="Times New Roman" w:hAnsi="Times New Roman" w:eastAsia="仿宋_GB2312"/>
          <w:sz w:val="32"/>
          <w:szCs w:val="32"/>
        </w:rPr>
        <w:t>家，压减水泥产能</w:t>
      </w:r>
      <w:r>
        <w:rPr>
          <w:rFonts w:ascii="Times New Roman" w:hAnsi="Times New Roman" w:eastAsia="仿宋_GB2312"/>
          <w:sz w:val="32"/>
          <w:szCs w:val="32"/>
        </w:rPr>
        <w:t>501.2</w:t>
      </w:r>
      <w:r>
        <w:rPr>
          <w:rFonts w:hint="eastAsia" w:ascii="Times New Roman" w:hAnsi="Times New Roman" w:eastAsia="仿宋_GB2312"/>
          <w:sz w:val="32"/>
          <w:szCs w:val="32"/>
        </w:rPr>
        <w:t>万吨。</w:t>
      </w:r>
    </w:p>
    <w:p>
      <w:pPr>
        <w:spacing w:line="570" w:lineRule="exact"/>
        <w:ind w:firstLine="643" w:firstLineChars="200"/>
        <w:rPr>
          <w:rFonts w:ascii="Times New Roman" w:hAnsi="Times New Roman" w:eastAsia="仿宋_GB2312"/>
          <w:sz w:val="32"/>
          <w:szCs w:val="32"/>
        </w:rPr>
      </w:pPr>
      <w:r>
        <w:rPr>
          <w:rFonts w:ascii="仿宋_GB2312" w:hAnsi="Times New Roman" w:eastAsia="仿宋_GB2312"/>
          <w:b/>
          <w:bCs/>
          <w:sz w:val="32"/>
          <w:szCs w:val="32"/>
        </w:rPr>
        <w:t>2</w:t>
      </w:r>
      <w:r>
        <w:rPr>
          <w:rFonts w:hint="eastAsia" w:ascii="仿宋_GB2312" w:hAnsi="Times New Roman" w:eastAsia="仿宋_GB2312"/>
          <w:b/>
          <w:bCs/>
          <w:sz w:val="32"/>
          <w:szCs w:val="32"/>
        </w:rPr>
        <w:t>、调结构。</w:t>
      </w:r>
      <w:r>
        <w:rPr>
          <w:rFonts w:hint="eastAsia" w:ascii="Times New Roman" w:hAnsi="Times New Roman" w:eastAsia="仿宋_GB2312"/>
          <w:sz w:val="32"/>
          <w:szCs w:val="32"/>
        </w:rPr>
        <w:t>调整产业布局结构。打造沿海、迁安、滦州和遵化四大聚集区，加快唐钢、唐银、银水球团、天柱、华西、国义等钢铁公司向沿海区域转移，建龙、新宝泰钢铁（部分产能）向市外转移；确保唐钢本部、唐银、银水球团</w:t>
      </w:r>
      <w:r>
        <w:rPr>
          <w:rFonts w:ascii="Times New Roman" w:hAnsi="Times New Roman" w:eastAsia="仿宋_GB2312"/>
          <w:sz w:val="32"/>
          <w:szCs w:val="32"/>
        </w:rPr>
        <w:t>6</w:t>
      </w:r>
      <w:r>
        <w:rPr>
          <w:rFonts w:hint="eastAsia" w:ascii="Times New Roman" w:hAnsi="Times New Roman" w:eastAsia="仿宋_GB2312"/>
          <w:sz w:val="32"/>
          <w:szCs w:val="32"/>
        </w:rPr>
        <w:t>月</w:t>
      </w:r>
      <w:r>
        <w:rPr>
          <w:rFonts w:ascii="Times New Roman" w:hAnsi="Times New Roman" w:eastAsia="仿宋_GB2312"/>
          <w:sz w:val="32"/>
          <w:szCs w:val="32"/>
        </w:rPr>
        <w:t>30</w:t>
      </w:r>
      <w:r>
        <w:rPr>
          <w:rFonts w:hint="eastAsia" w:ascii="Times New Roman" w:hAnsi="Times New Roman" w:eastAsia="仿宋_GB2312"/>
          <w:sz w:val="32"/>
          <w:szCs w:val="32"/>
        </w:rPr>
        <w:t>日前关停，建龙、新宝泰钢铁（部分产能）</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15</w:t>
      </w:r>
      <w:r>
        <w:rPr>
          <w:rFonts w:hint="eastAsia" w:ascii="Times New Roman" w:hAnsi="Times New Roman" w:eastAsia="仿宋_GB2312"/>
          <w:sz w:val="32"/>
          <w:szCs w:val="32"/>
        </w:rPr>
        <w:t>日前关停，天柱、华西、国义等钢铁企业限时完成搬迁项目建设、原址关停；力争市内搬迁项目</w:t>
      </w:r>
      <w:r>
        <w:rPr>
          <w:rFonts w:ascii="Times New Roman" w:hAnsi="Times New Roman" w:eastAsia="仿宋_GB2312"/>
          <w:sz w:val="32"/>
          <w:szCs w:val="32"/>
        </w:rPr>
        <w:t>2020</w:t>
      </w:r>
      <w:r>
        <w:rPr>
          <w:rFonts w:hint="eastAsia" w:ascii="Times New Roman" w:hAnsi="Times New Roman" w:eastAsia="仿宋_GB2312"/>
          <w:sz w:val="32"/>
          <w:szCs w:val="32"/>
        </w:rPr>
        <w:t>年底前取得阶段性进展，其他市中心区及周边污染工业企业按要求完成搬迁任务。调整能源结构。实现散煤质量全面达标；全市煤炭消费总量较</w:t>
      </w:r>
      <w:r>
        <w:rPr>
          <w:rFonts w:ascii="Times New Roman" w:hAnsi="Times New Roman" w:eastAsia="仿宋_GB2312"/>
          <w:sz w:val="32"/>
          <w:szCs w:val="32"/>
        </w:rPr>
        <w:t>2015</w:t>
      </w:r>
      <w:r>
        <w:rPr>
          <w:rFonts w:hint="eastAsia" w:ascii="Times New Roman" w:hAnsi="Times New Roman" w:eastAsia="仿宋_GB2312"/>
          <w:sz w:val="32"/>
          <w:szCs w:val="32"/>
        </w:rPr>
        <w:t>年下降</w:t>
      </w:r>
      <w:r>
        <w:rPr>
          <w:rFonts w:ascii="Times New Roman" w:hAnsi="Times New Roman" w:eastAsia="仿宋_GB2312"/>
          <w:sz w:val="32"/>
          <w:szCs w:val="32"/>
        </w:rPr>
        <w:t>10%</w:t>
      </w:r>
      <w:r>
        <w:rPr>
          <w:rFonts w:hint="eastAsia" w:ascii="Times New Roman" w:hAnsi="Times New Roman" w:eastAsia="仿宋_GB2312"/>
          <w:sz w:val="32"/>
          <w:szCs w:val="32"/>
        </w:rPr>
        <w:t>。绿色建筑占城镇新建民用建筑比例达到</w:t>
      </w:r>
      <w:r>
        <w:rPr>
          <w:rFonts w:ascii="Times New Roman" w:hAnsi="Times New Roman" w:eastAsia="仿宋_GB2312"/>
          <w:sz w:val="32"/>
          <w:szCs w:val="32"/>
        </w:rPr>
        <w:t>50%</w:t>
      </w:r>
      <w:r>
        <w:rPr>
          <w:rFonts w:hint="eastAsia" w:ascii="Times New Roman" w:hAnsi="Times New Roman" w:eastAsia="仿宋_GB2312"/>
          <w:sz w:val="32"/>
          <w:szCs w:val="32"/>
        </w:rPr>
        <w:t>。</w:t>
      </w:r>
    </w:p>
    <w:p>
      <w:pPr>
        <w:spacing w:line="57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、抓治理。一是机动车治理</w:t>
      </w:r>
      <w:r>
        <w:rPr>
          <w:rFonts w:hint="eastAsia" w:ascii="Times New Roman" w:hAnsi="Times New Roman" w:eastAsia="仿宋_GB2312"/>
          <w:sz w:val="32"/>
          <w:szCs w:val="32"/>
        </w:rPr>
        <w:t>，进一步巩固创建“无超限超载城市”成果，持续开展全域治超工作；全市钢铁企业铁矿石运输实现“公转铁”，逐步取消钢材成品等大宗货物公路运输，初步形成覆盖主要城区的城际快充网络，建设城市绿色物流体系，发展清洁货运，排放不达标的重型货车不予办理道路运输证。淘汰国Ⅲ及以下排放标准的柴油货车和老旧燃气车辆。</w:t>
      </w:r>
      <w:r>
        <w:rPr>
          <w:rFonts w:hint="eastAsia" w:ascii="Times New Roman" w:hAnsi="Times New Roman" w:eastAsia="仿宋_GB2312"/>
          <w:b/>
          <w:bCs/>
          <w:sz w:val="32"/>
          <w:szCs w:val="32"/>
        </w:rPr>
        <w:t>二是扬尘治理</w:t>
      </w:r>
      <w:r>
        <w:rPr>
          <w:rFonts w:hint="eastAsia" w:ascii="Times New Roman" w:hAnsi="Times New Roman" w:eastAsia="仿宋_GB2312"/>
          <w:sz w:val="32"/>
          <w:szCs w:val="32"/>
        </w:rPr>
        <w:t>，严格落实施工扬尘治理工作的“六个百分之百”和“两个全覆盖”要求，实施城市道路扬尘监测制度，实行“以克论净”，市区和县级城市道路机械化清扫率均达到</w:t>
      </w:r>
      <w:r>
        <w:rPr>
          <w:rFonts w:ascii="Times New Roman" w:hAnsi="Times New Roman" w:eastAsia="仿宋_GB2312"/>
          <w:sz w:val="32"/>
          <w:szCs w:val="32"/>
        </w:rPr>
        <w:t>90%</w:t>
      </w:r>
      <w:r>
        <w:rPr>
          <w:rFonts w:hint="eastAsia" w:ascii="Times New Roman" w:hAnsi="Times New Roman" w:eastAsia="仿宋_GB2312"/>
          <w:sz w:val="32"/>
          <w:szCs w:val="32"/>
        </w:rPr>
        <w:t>以上；加大国省干线、城市出入口及城市周边道路日常清扫保洁力度。责任主体灭失矿山迹地综合治理率达</w:t>
      </w:r>
      <w:r>
        <w:rPr>
          <w:rFonts w:ascii="Times New Roman" w:hAnsi="Times New Roman" w:eastAsia="仿宋_GB2312"/>
          <w:sz w:val="32"/>
          <w:szCs w:val="32"/>
        </w:rPr>
        <w:t>50%</w:t>
      </w:r>
      <w:r>
        <w:rPr>
          <w:rFonts w:hint="eastAsia" w:ascii="Times New Roman" w:hAnsi="Times New Roman" w:eastAsia="仿宋_GB2312"/>
          <w:sz w:val="32"/>
          <w:szCs w:val="32"/>
        </w:rPr>
        <w:t>以上。</w:t>
      </w:r>
      <w:r>
        <w:rPr>
          <w:rFonts w:hint="eastAsia" w:ascii="Times New Roman" w:hAnsi="Times New Roman" w:eastAsia="仿宋_GB2312"/>
          <w:b/>
          <w:bCs/>
          <w:sz w:val="32"/>
          <w:szCs w:val="32"/>
        </w:rPr>
        <w:t>三是企业治理</w:t>
      </w:r>
      <w:r>
        <w:rPr>
          <w:rFonts w:hint="eastAsia" w:ascii="Times New Roman" w:hAnsi="Times New Roman" w:eastAsia="仿宋_GB2312"/>
          <w:sz w:val="32"/>
          <w:szCs w:val="32"/>
        </w:rPr>
        <w:t>，实行燃煤电厂和燃煤机组排放绩效管理，淘汰关停环保、能耗、安全等不达标的</w:t>
      </w:r>
      <w:r>
        <w:rPr>
          <w:rFonts w:ascii="Times New Roman" w:hAnsi="Times New Roman" w:eastAsia="仿宋_GB2312"/>
          <w:sz w:val="32"/>
          <w:szCs w:val="32"/>
        </w:rPr>
        <w:t>30</w:t>
      </w:r>
      <w:r>
        <w:rPr>
          <w:rFonts w:hint="eastAsia" w:ascii="Times New Roman" w:hAnsi="Times New Roman" w:eastAsia="仿宋_GB2312"/>
          <w:sz w:val="32"/>
          <w:szCs w:val="32"/>
        </w:rPr>
        <w:t>万千瓦以下燃煤机组；按照省达要求压减退出燃煤机组，按需完成</w:t>
      </w:r>
      <w:r>
        <w:rPr>
          <w:rFonts w:ascii="Times New Roman" w:hAnsi="Times New Roman" w:eastAsia="仿宋_GB2312"/>
          <w:sz w:val="32"/>
          <w:szCs w:val="32"/>
        </w:rPr>
        <w:t>60</w:t>
      </w:r>
      <w:r>
        <w:rPr>
          <w:rFonts w:hint="eastAsia" w:ascii="Times New Roman" w:hAnsi="Times New Roman" w:eastAsia="仿宋_GB2312"/>
          <w:sz w:val="32"/>
          <w:szCs w:val="32"/>
        </w:rPr>
        <w:t>万千瓦等纯凝机组供热改造，大容量、高参数机组比重达</w:t>
      </w:r>
      <w:r>
        <w:rPr>
          <w:rFonts w:ascii="Times New Roman" w:hAnsi="Times New Roman" w:eastAsia="仿宋_GB2312"/>
          <w:sz w:val="32"/>
          <w:szCs w:val="32"/>
        </w:rPr>
        <w:t>90%</w:t>
      </w:r>
      <w:r>
        <w:rPr>
          <w:rFonts w:hint="eastAsia" w:ascii="Times New Roman" w:hAnsi="Times New Roman" w:eastAsia="仿宋_GB2312"/>
          <w:sz w:val="32"/>
          <w:szCs w:val="32"/>
        </w:rPr>
        <w:t>以上；全市火电行业单位发电煤耗达到世界领先水平。</w:t>
      </w:r>
      <w:r>
        <w:rPr>
          <w:rFonts w:hint="eastAsia" w:ascii="Times New Roman" w:hAnsi="Times New Roman" w:eastAsia="仿宋_GB2312"/>
          <w:b/>
          <w:bCs/>
          <w:sz w:val="32"/>
          <w:szCs w:val="32"/>
        </w:rPr>
        <w:t>四是面源污染治理</w:t>
      </w:r>
      <w:r>
        <w:rPr>
          <w:rFonts w:hint="eastAsia" w:ascii="Times New Roman" w:hAnsi="Times New Roman" w:eastAsia="仿宋_GB2312"/>
          <w:sz w:val="32"/>
          <w:szCs w:val="32"/>
        </w:rPr>
        <w:t>，完善城乡垃圾处置体系，推进城乡一体化垃圾治理模式，市区生活垃圾无害化处理率达到</w:t>
      </w:r>
      <w:r>
        <w:rPr>
          <w:rFonts w:ascii="Times New Roman" w:hAnsi="Times New Roman" w:eastAsia="仿宋_GB2312"/>
          <w:sz w:val="32"/>
          <w:szCs w:val="32"/>
        </w:rPr>
        <w:t>98%</w:t>
      </w:r>
      <w:r>
        <w:rPr>
          <w:rFonts w:hint="eastAsia" w:ascii="Times New Roman" w:hAnsi="Times New Roman" w:eastAsia="仿宋_GB2312"/>
          <w:sz w:val="32"/>
          <w:szCs w:val="32"/>
        </w:rPr>
        <w:t>以上，县城建成区达到</w:t>
      </w:r>
      <w:r>
        <w:rPr>
          <w:rFonts w:ascii="Times New Roman" w:hAnsi="Times New Roman" w:eastAsia="仿宋_GB2312"/>
          <w:sz w:val="32"/>
          <w:szCs w:val="32"/>
        </w:rPr>
        <w:t>98%</w:t>
      </w:r>
      <w:r>
        <w:rPr>
          <w:rFonts w:hint="eastAsia" w:ascii="Times New Roman" w:hAnsi="Times New Roman" w:eastAsia="仿宋_GB2312"/>
          <w:sz w:val="32"/>
          <w:szCs w:val="32"/>
        </w:rPr>
        <w:t>以上；完成非正规垃圾堆放点排查整治；开展农村地区生活垃圾综合整治，严禁垃圾露天焚烧。</w:t>
      </w:r>
      <w:r>
        <w:rPr>
          <w:rFonts w:hint="eastAsia" w:ascii="仿宋_GB2312" w:hAnsi="仿宋_GB2312" w:eastAsia="仿宋_GB2312" w:cs="仿宋_GB2312"/>
          <w:sz w:val="32"/>
          <w:szCs w:val="32"/>
          <w:lang w:val="zh-CN"/>
        </w:rPr>
        <w:t>持续推广玉米、花生、水稻、蔬菜等作物的测土配方施肥技术，</w:t>
      </w:r>
      <w:r>
        <w:rPr>
          <w:rFonts w:hint="eastAsia" w:ascii="仿宋_GB2312" w:hAnsi="宋体" w:eastAsia="仿宋_GB2312"/>
          <w:sz w:val="32"/>
          <w:szCs w:val="32"/>
        </w:rPr>
        <w:t>主要农作物测土配方施肥技术推广覆盖率达到</w:t>
      </w:r>
      <w:r>
        <w:rPr>
          <w:rFonts w:ascii="仿宋_GB2312" w:hAnsi="宋体" w:eastAsia="仿宋_GB2312"/>
          <w:sz w:val="32"/>
          <w:szCs w:val="32"/>
        </w:rPr>
        <w:t>90%</w:t>
      </w:r>
      <w:r>
        <w:rPr>
          <w:rFonts w:hint="eastAsia" w:ascii="仿宋_GB2312" w:hAnsi="宋体" w:eastAsia="仿宋_GB2312"/>
          <w:sz w:val="32"/>
          <w:szCs w:val="32"/>
        </w:rPr>
        <w:t>以上，化肥利用率提高到</w:t>
      </w:r>
      <w:r>
        <w:rPr>
          <w:rFonts w:ascii="仿宋_GB2312" w:hAnsi="宋体" w:eastAsia="仿宋_GB2312"/>
          <w:sz w:val="32"/>
          <w:szCs w:val="32"/>
        </w:rPr>
        <w:t>40%</w:t>
      </w:r>
      <w:r>
        <w:rPr>
          <w:rFonts w:hint="eastAsia" w:ascii="仿宋_GB2312" w:hAnsi="宋体" w:eastAsia="仿宋_GB2312"/>
          <w:sz w:val="32"/>
          <w:szCs w:val="32"/>
        </w:rPr>
        <w:t>以上，主要农作物化肥使用量实现零增长。</w:t>
      </w:r>
      <w:r>
        <w:rPr>
          <w:rFonts w:hint="eastAsia" w:ascii="Times New Roman" w:hAnsi="Times New Roman" w:eastAsia="仿宋_GB2312"/>
          <w:sz w:val="32"/>
          <w:szCs w:val="32"/>
        </w:rPr>
        <w:t>严控露天焚烧秸秆行为，持续推进秸秆肥料化、饲料化、燃料化、基料化和原料化利用，加大秸秆综合利用政策扶持，形成稳定的秸秆收储能力，确保秸秆综合利用率保持在</w:t>
      </w:r>
      <w:r>
        <w:rPr>
          <w:rFonts w:ascii="Times New Roman" w:hAnsi="Times New Roman" w:eastAsia="仿宋_GB2312"/>
          <w:sz w:val="32"/>
          <w:szCs w:val="32"/>
        </w:rPr>
        <w:t>96%</w:t>
      </w:r>
      <w:r>
        <w:rPr>
          <w:rFonts w:hint="eastAsia" w:ascii="Times New Roman" w:hAnsi="Times New Roman" w:eastAsia="仿宋_GB2312"/>
          <w:sz w:val="32"/>
          <w:szCs w:val="32"/>
        </w:rPr>
        <w:t>以上。严控劣质散煤销售和使用，完成</w:t>
      </w:r>
      <w:r>
        <w:rPr>
          <w:rFonts w:ascii="Times New Roman" w:hAnsi="Times New Roman" w:eastAsia="仿宋_GB2312"/>
          <w:sz w:val="32"/>
          <w:szCs w:val="32"/>
        </w:rPr>
        <w:t>44.6</w:t>
      </w:r>
      <w:r>
        <w:rPr>
          <w:rFonts w:hint="eastAsia" w:ascii="Times New Roman" w:hAnsi="Times New Roman" w:eastAsia="仿宋_GB2312"/>
          <w:sz w:val="32"/>
          <w:szCs w:val="32"/>
        </w:rPr>
        <w:t>万户“双代”改造任务。</w:t>
      </w:r>
    </w:p>
    <w:p>
      <w:pPr>
        <w:spacing w:line="57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（二）水污染防治工作</w:t>
      </w:r>
    </w:p>
    <w:p>
      <w:pPr>
        <w:spacing w:line="570" w:lineRule="exact"/>
        <w:ind w:firstLine="643" w:firstLineChars="200"/>
        <w:rPr>
          <w:rFonts w:ascii="Times New Roman" w:hAnsi="Times New Roman" w:eastAsia="仿宋_GB2312"/>
          <w:sz w:val="32"/>
          <w:szCs w:val="32"/>
        </w:rPr>
      </w:pPr>
      <w:r>
        <w:rPr>
          <w:rFonts w:ascii="仿宋_GB2312" w:eastAsia="仿宋_GB2312"/>
          <w:b/>
          <w:bCs/>
          <w:sz w:val="32"/>
          <w:szCs w:val="32"/>
        </w:rPr>
        <w:t>1</w:t>
      </w:r>
      <w:r>
        <w:rPr>
          <w:rFonts w:hint="eastAsia" w:ascii="仿宋_GB2312" w:eastAsia="仿宋_GB2312"/>
          <w:b/>
          <w:bCs/>
          <w:sz w:val="32"/>
          <w:szCs w:val="32"/>
        </w:rPr>
        <w:t>、</w:t>
      </w:r>
      <w:r>
        <w:rPr>
          <w:rFonts w:hint="eastAsia" w:ascii="仿宋_GB2312" w:hAnsi="仿宋" w:eastAsia="仿宋_GB2312" w:cs="仿宋"/>
          <w:b/>
          <w:sz w:val="32"/>
          <w:szCs w:val="32"/>
        </w:rPr>
        <w:t>深入开展全域治水工作。</w:t>
      </w:r>
      <w:r>
        <w:rPr>
          <w:rFonts w:hint="eastAsia" w:ascii="Times New Roman" w:hAnsi="Times New Roman" w:eastAsia="仿宋_GB2312"/>
          <w:sz w:val="32"/>
          <w:szCs w:val="32"/>
        </w:rPr>
        <w:t>全力推进“全域治水，清水润城”县区工程</w:t>
      </w:r>
      <w:r>
        <w:rPr>
          <w:rFonts w:ascii="Times New Roman" w:hAnsi="Times New Roman" w:eastAsia="仿宋_GB2312"/>
          <w:sz w:val="32"/>
          <w:szCs w:val="32"/>
        </w:rPr>
        <w:t>PPP</w:t>
      </w:r>
      <w:r>
        <w:rPr>
          <w:rFonts w:hint="eastAsia" w:ascii="Times New Roman" w:hAnsi="Times New Roman" w:eastAsia="仿宋_GB2312"/>
          <w:sz w:val="32"/>
          <w:szCs w:val="32"/>
        </w:rPr>
        <w:t>项目。</w:t>
      </w:r>
      <w:r>
        <w:rPr>
          <w:rFonts w:ascii="Times New Roman" w:hAnsi="Times New Roman" w:eastAsia="仿宋_GB2312"/>
          <w:sz w:val="32"/>
          <w:szCs w:val="32"/>
        </w:rPr>
        <w:t>2020</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月底前完成引邱入城工程建设，实现邱水入城。持续推进河湖“四乱”问题整治及河道垃圾的清理，特别是流域为</w:t>
      </w:r>
      <w:r>
        <w:rPr>
          <w:rFonts w:ascii="Times New Roman" w:hAnsi="Times New Roman" w:eastAsia="仿宋_GB2312"/>
          <w:sz w:val="32"/>
          <w:szCs w:val="32"/>
        </w:rPr>
        <w:t>50</w:t>
      </w:r>
      <w:r>
        <w:rPr>
          <w:rFonts w:hint="eastAsia" w:ascii="Times New Roman" w:hAnsi="Times New Roman" w:eastAsia="仿宋_GB2312"/>
          <w:sz w:val="32"/>
          <w:szCs w:val="32"/>
        </w:rPr>
        <w:t>平方公里以上河湖的治理。做到加强督导检查，强化宣传引导，全面提升河湖生态环境综合治理能力。</w:t>
      </w:r>
    </w:p>
    <w:p>
      <w:pPr>
        <w:spacing w:line="570" w:lineRule="exact"/>
        <w:ind w:firstLine="643" w:firstLineChars="200"/>
        <w:rPr>
          <w:rFonts w:ascii="Times New Roman" w:hAnsi="Times New Roman" w:eastAsia="仿宋_GB2312"/>
          <w:sz w:val="32"/>
          <w:szCs w:val="32"/>
        </w:rPr>
      </w:pPr>
      <w:r>
        <w:rPr>
          <w:rFonts w:ascii="仿宋_GB2312" w:eastAsia="仿宋_GB2312"/>
          <w:b/>
          <w:bCs/>
          <w:sz w:val="32"/>
          <w:szCs w:val="32"/>
        </w:rPr>
        <w:t>2</w:t>
      </w:r>
      <w:r>
        <w:rPr>
          <w:rFonts w:hint="eastAsia" w:ascii="仿宋_GB2312" w:eastAsia="仿宋_GB2312"/>
          <w:b/>
          <w:bCs/>
          <w:sz w:val="32"/>
          <w:szCs w:val="32"/>
        </w:rPr>
        <w:t>、加强重点流域水污染防治。</w:t>
      </w:r>
      <w:r>
        <w:rPr>
          <w:rFonts w:hint="eastAsia" w:ascii="Times New Roman" w:hAnsi="Times New Roman" w:eastAsia="仿宋_GB2312"/>
          <w:sz w:val="32"/>
          <w:szCs w:val="32"/>
        </w:rPr>
        <w:t>以全域治水清水润城工作为统领，全力推进全市河流水系水质得到有效改善。加强还乡河、陡河、滦河以及遵化市黎河、沙河、淋河等重点流域水污染防治工作，确保国家和省考核河流断面水质稳定达标。同时，加快市控河流特别是入海河流断面治理达标。</w:t>
      </w:r>
    </w:p>
    <w:p>
      <w:pPr>
        <w:spacing w:line="570" w:lineRule="exact"/>
        <w:ind w:firstLine="643" w:firstLineChars="200"/>
        <w:rPr>
          <w:rFonts w:ascii="Times New Roman" w:hAnsi="Times New Roman" w:eastAsia="仿宋_GB2312"/>
          <w:sz w:val="32"/>
          <w:szCs w:val="32"/>
        </w:rPr>
      </w:pPr>
      <w:r>
        <w:rPr>
          <w:rFonts w:ascii="仿宋_GB2312" w:eastAsia="仿宋_GB2312"/>
          <w:b/>
          <w:bCs/>
          <w:sz w:val="32"/>
          <w:szCs w:val="32"/>
        </w:rPr>
        <w:t>3</w:t>
      </w:r>
      <w:r>
        <w:rPr>
          <w:rFonts w:hint="eastAsia" w:ascii="仿宋_GB2312" w:eastAsia="仿宋_GB2312"/>
          <w:b/>
          <w:bCs/>
          <w:sz w:val="32"/>
          <w:szCs w:val="32"/>
        </w:rPr>
        <w:t>、饮用水水源地保护。</w:t>
      </w:r>
      <w:r>
        <w:rPr>
          <w:rFonts w:hint="eastAsia" w:ascii="Times New Roman" w:hAnsi="Times New Roman" w:eastAsia="仿宋_GB2312"/>
          <w:sz w:val="32"/>
          <w:szCs w:val="32"/>
        </w:rPr>
        <w:t>推进乡镇级及农村“千吨万人”集中式饮用水水源地保护区划分及规范化建设，深入开展环境问题整治，到</w:t>
      </w:r>
      <w:r>
        <w:rPr>
          <w:rFonts w:ascii="Times New Roman" w:hAnsi="Times New Roman" w:eastAsia="仿宋_GB2312"/>
          <w:sz w:val="32"/>
          <w:szCs w:val="32"/>
        </w:rPr>
        <w:t>2020</w:t>
      </w:r>
      <w:r>
        <w:rPr>
          <w:rFonts w:hint="eastAsia" w:ascii="Times New Roman" w:hAnsi="Times New Roman" w:eastAsia="仿宋_GB2312"/>
          <w:sz w:val="32"/>
          <w:szCs w:val="32"/>
        </w:rPr>
        <w:t>年底基本见效。对县级以上集中式饮用水水源地保护区开展违规建设项目清理“回头看”工作。排查整治各种生活、工业、农业污染源和各类非法建设项目。</w:t>
      </w:r>
    </w:p>
    <w:p>
      <w:pPr>
        <w:spacing w:line="570" w:lineRule="exact"/>
        <w:ind w:firstLine="643" w:firstLineChars="200"/>
        <w:rPr>
          <w:rFonts w:ascii="Times New Roman" w:hAnsi="Times New Roman" w:eastAsia="仿宋_GB2312"/>
          <w:sz w:val="32"/>
          <w:szCs w:val="32"/>
        </w:rPr>
      </w:pPr>
      <w:r>
        <w:rPr>
          <w:rFonts w:ascii="仿宋_GB2312" w:eastAsia="仿宋_GB2312"/>
          <w:b/>
          <w:bCs/>
          <w:sz w:val="32"/>
          <w:szCs w:val="32"/>
        </w:rPr>
        <w:t>4</w:t>
      </w:r>
      <w:r>
        <w:rPr>
          <w:rFonts w:hint="eastAsia" w:ascii="仿宋_GB2312" w:eastAsia="仿宋_GB2312"/>
          <w:b/>
          <w:bCs/>
          <w:sz w:val="32"/>
          <w:szCs w:val="32"/>
        </w:rPr>
        <w:t>、实施工业污染整治。</w:t>
      </w:r>
      <w:r>
        <w:rPr>
          <w:rFonts w:hint="eastAsia" w:ascii="Times New Roman" w:hAnsi="Times New Roman" w:eastAsia="仿宋_GB2312"/>
          <w:sz w:val="32"/>
          <w:szCs w:val="32"/>
        </w:rPr>
        <w:t>加强对重点涉水企业的监管，严肃查处超标排放问题。以在线监测超标企业为检查重点，严查企业超标排放，对连续超标和超标严重的排污单位依法依规进行查处和限期整改，对整改仍达不到要求的排污单位要实施停产整治。加强工业园区环境管理，全面梳理水环境管理方面的问题，对症施治，实现园区内污水处理厂稳定运行。</w:t>
      </w:r>
    </w:p>
    <w:p>
      <w:pPr>
        <w:spacing w:line="570" w:lineRule="exact"/>
        <w:ind w:firstLine="643" w:firstLineChars="200"/>
        <w:rPr>
          <w:rFonts w:ascii="仿宋_GB2312" w:eastAsia="仿宋_GB2312"/>
          <w:sz w:val="32"/>
          <w:szCs w:val="32"/>
        </w:rPr>
      </w:pPr>
      <w:r>
        <w:rPr>
          <w:rFonts w:ascii="仿宋_GB2312" w:eastAsia="仿宋_GB2312"/>
          <w:b/>
          <w:bCs/>
          <w:sz w:val="32"/>
          <w:szCs w:val="32"/>
        </w:rPr>
        <w:t>5</w:t>
      </w:r>
      <w:r>
        <w:rPr>
          <w:rFonts w:hint="eastAsia" w:ascii="仿宋_GB2312" w:eastAsia="仿宋_GB2312"/>
          <w:b/>
          <w:bCs/>
          <w:sz w:val="32"/>
          <w:szCs w:val="32"/>
        </w:rPr>
        <w:t>、开展入河排污口整治。</w:t>
      </w:r>
      <w:r>
        <w:rPr>
          <w:rFonts w:hint="eastAsia" w:ascii="仿宋_GB2312" w:eastAsia="仿宋_GB2312"/>
          <w:sz w:val="32"/>
          <w:szCs w:val="32"/>
        </w:rPr>
        <w:t>全面掌握全市入河排污口底数，综合运用无人机飞行、卫星遥感等各类科技手段，对各县区入河排污口深入开展排查工作，摸清入河排污口状况，进一步完善入河排污口名录，整治非法入河排污口，做到规范化管理。</w:t>
      </w:r>
    </w:p>
    <w:p>
      <w:pPr>
        <w:spacing w:line="57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（三）生态环境综合整治工作</w:t>
      </w:r>
    </w:p>
    <w:p>
      <w:pPr>
        <w:spacing w:line="570" w:lineRule="exact"/>
        <w:ind w:firstLine="643" w:firstLineChars="200"/>
        <w:rPr>
          <w:rFonts w:ascii="Times New Roman" w:hAnsi="Times New Roman" w:eastAsia="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、加强土壤污染防治。</w:t>
      </w:r>
      <w:r>
        <w:rPr>
          <w:rFonts w:hint="eastAsia" w:ascii="Times New Roman" w:hAnsi="Times New Roman" w:eastAsia="仿宋_GB2312"/>
          <w:sz w:val="32"/>
          <w:szCs w:val="32"/>
        </w:rPr>
        <w:t>一是持续推进化工企业、加油站、垃圾填埋场和危险废物处置场等区域周边地下水基础环境状况调查。重点督促</w:t>
      </w:r>
      <w:r>
        <w:rPr>
          <w:rFonts w:ascii="Times New Roman" w:hAnsi="Times New Roman" w:eastAsia="仿宋_GB2312"/>
          <w:sz w:val="32"/>
          <w:szCs w:val="32"/>
        </w:rPr>
        <w:t>24</w:t>
      </w:r>
      <w:r>
        <w:rPr>
          <w:rFonts w:hint="eastAsia" w:ascii="Times New Roman" w:hAnsi="Times New Roman" w:eastAsia="仿宋_GB2312"/>
          <w:sz w:val="32"/>
          <w:szCs w:val="32"/>
        </w:rPr>
        <w:t>家焦化企业开展土壤和地下水风险管控。二是开展</w:t>
      </w:r>
      <w:r>
        <w:rPr>
          <w:rFonts w:ascii="Times New Roman" w:hAnsi="Times New Roman" w:eastAsia="仿宋_GB2312"/>
          <w:sz w:val="32"/>
          <w:szCs w:val="32"/>
        </w:rPr>
        <w:t>156</w:t>
      </w:r>
      <w:r>
        <w:rPr>
          <w:rFonts w:hint="eastAsia" w:ascii="Times New Roman" w:hAnsi="Times New Roman" w:eastAsia="仿宋_GB2312"/>
          <w:sz w:val="32"/>
          <w:szCs w:val="32"/>
        </w:rPr>
        <w:t>家土壤污染重点监管单位土壤与地下水自行监测；推进</w:t>
      </w:r>
      <w:r>
        <w:rPr>
          <w:rFonts w:ascii="Times New Roman" w:hAnsi="Times New Roman" w:eastAsia="仿宋_GB2312"/>
          <w:sz w:val="32"/>
          <w:szCs w:val="32"/>
        </w:rPr>
        <w:t>230</w:t>
      </w:r>
      <w:r>
        <w:rPr>
          <w:rFonts w:hint="eastAsia" w:ascii="Times New Roman" w:hAnsi="Times New Roman" w:eastAsia="仿宋_GB2312"/>
          <w:sz w:val="32"/>
          <w:szCs w:val="32"/>
        </w:rPr>
        <w:t>家重点行业企业初步采样调查、样品分析测试工作，建立污染地块清单和优先管控名录。三是加强钢铁、焦化、化工等行业退城搬迁污染企业土壤环境监管，强化污染地块再开发利用准入管理，动态更新疑似污染地块名单和污染地块名录，对列入污染地块管理系统的</w:t>
      </w:r>
      <w:r>
        <w:rPr>
          <w:rFonts w:ascii="Times New Roman" w:hAnsi="Times New Roman" w:eastAsia="仿宋_GB2312"/>
          <w:sz w:val="32"/>
          <w:szCs w:val="32"/>
        </w:rPr>
        <w:t>21</w:t>
      </w:r>
      <w:r>
        <w:rPr>
          <w:rFonts w:hint="eastAsia" w:ascii="Times New Roman" w:hAnsi="Times New Roman" w:eastAsia="仿宋_GB2312"/>
          <w:sz w:val="32"/>
          <w:szCs w:val="32"/>
        </w:rPr>
        <w:t>个地块开展土壤污染状况调查；对</w:t>
      </w:r>
      <w:r>
        <w:rPr>
          <w:rFonts w:ascii="Times New Roman" w:hAnsi="Times New Roman" w:eastAsia="仿宋_GB2312"/>
          <w:sz w:val="32"/>
          <w:szCs w:val="32"/>
        </w:rPr>
        <w:t>7</w:t>
      </w:r>
      <w:r>
        <w:rPr>
          <w:rFonts w:hint="eastAsia" w:ascii="Times New Roman" w:hAnsi="Times New Roman" w:eastAsia="仿宋_GB2312"/>
          <w:sz w:val="32"/>
          <w:szCs w:val="32"/>
        </w:rPr>
        <w:t>家暂不开发利用或现阶段不具备治理修复条件的污染地块，制定污染地块风险管控年度计划，督促相关责任主体编制污染地块环境风险管控方案并实施。</w:t>
      </w:r>
    </w:p>
    <w:p>
      <w:pPr>
        <w:spacing w:line="57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强化固体（危险）废物管控</w:t>
      </w:r>
      <w:r>
        <w:rPr>
          <w:rFonts w:hint="eastAsia" w:ascii="Times New Roman" w:hAnsi="Times New Roman" w:eastAsia="仿宋_GB2312"/>
          <w:sz w:val="32"/>
          <w:szCs w:val="32"/>
        </w:rPr>
        <w:t>。一是落实固体废物申报登记制度，开展一般固废信息填报。二是持续推进危险废物智能监控体系建设工作。对重点产废单位进行严格排查，对年产废</w:t>
      </w:r>
      <w:r>
        <w:rPr>
          <w:rFonts w:ascii="Times New Roman" w:hAnsi="Times New Roman" w:eastAsia="仿宋_GB2312"/>
          <w:sz w:val="32"/>
          <w:szCs w:val="32"/>
        </w:rPr>
        <w:t>50</w:t>
      </w:r>
      <w:r>
        <w:rPr>
          <w:rFonts w:hint="eastAsia" w:ascii="Times New Roman" w:hAnsi="Times New Roman" w:eastAsia="仿宋_GB2312"/>
          <w:sz w:val="32"/>
          <w:szCs w:val="32"/>
        </w:rPr>
        <w:t>吨以上安装危险废物智能监控，实时传输有关数据至省、市两级智能监控平台。三是严格危险废物处置管理，严控非法转移倾倒违法行为。制定危险废物规范化管理抽查考核实施方案，筛选重点风险源企业名单。</w:t>
      </w:r>
    </w:p>
    <w:p>
      <w:pPr>
        <w:spacing w:line="570" w:lineRule="exact"/>
        <w:ind w:firstLine="643" w:firstLineChars="200"/>
        <w:rPr>
          <w:rFonts w:ascii="Times New Roman" w:hAnsi="Times New Roman" w:eastAsia="仿宋_GB2312"/>
          <w:sz w:val="32"/>
          <w:szCs w:val="32"/>
          <w:lang w:val="zh-CN"/>
        </w:rPr>
      </w:pPr>
      <w:r>
        <w:rPr>
          <w:rFonts w:ascii="Times New Roman" w:hAnsi="Times New Roman" w:eastAsia="仿宋_GB2312"/>
          <w:b/>
          <w:bCs/>
          <w:sz w:val="32"/>
          <w:szCs w:val="32"/>
        </w:rPr>
        <w:t>3</w:t>
      </w:r>
      <w:r>
        <w:rPr>
          <w:rFonts w:hint="eastAsia" w:ascii="Times New Roman" w:hAnsi="Times New Roman" w:eastAsia="仿宋_GB2312"/>
          <w:b/>
          <w:bCs/>
          <w:sz w:val="32"/>
          <w:szCs w:val="32"/>
        </w:rPr>
        <w:t>、严守</w:t>
      </w:r>
      <w:r>
        <w:rPr>
          <w:rFonts w:hint="eastAsia" w:ascii="Times New Roman" w:hAnsi="Times New Roman" w:eastAsia="仿宋_GB2312"/>
          <w:b/>
          <w:bCs/>
          <w:sz w:val="32"/>
          <w:szCs w:val="32"/>
          <w:lang w:val="zh-CN"/>
        </w:rPr>
        <w:t>生态保护红线。</w:t>
      </w:r>
      <w:r>
        <w:rPr>
          <w:rFonts w:hint="eastAsia" w:ascii="Times New Roman" w:hAnsi="Times New Roman" w:eastAsia="仿宋_GB2312"/>
          <w:sz w:val="32"/>
          <w:szCs w:val="32"/>
          <w:lang w:val="zh-CN"/>
        </w:rPr>
        <w:t>一是开展生态保护红线勘界定标。按照生态保护红线评估结果，以县级行政单元为基本单位将生态保护红线边界落地、勘界。在勘界基础上设立统一规范的标识标牌，确保生态保护红线落地准确、边界清晰。二是强化红线执法监管。建立生态保护红线常态化执法监管机制，定期开展执法督察，不断提高执法规范化水平。及时发现和依法处罚破坏生态保护红线的违法行为，做到有案必查、违法必究。三是健全监管机制。加强红线监管能力建设，及时接收和反馈省监管平台监管信息，核查和处理红线违法违规行为。</w:t>
      </w:r>
    </w:p>
    <w:p>
      <w:pPr>
        <w:spacing w:line="570" w:lineRule="exact"/>
        <w:ind w:firstLine="640" w:firstLineChars="200"/>
        <w:rPr>
          <w:rFonts w:ascii="楷体" w:hAnsi="楷体" w:eastAsia="楷体" w:cs="楷体"/>
          <w:sz w:val="32"/>
          <w:szCs w:val="32"/>
        </w:rPr>
      </w:pPr>
      <w:r>
        <w:rPr>
          <w:rFonts w:hint="eastAsia" w:ascii="楷体" w:hAnsi="楷体" w:eastAsia="楷体" w:cs="楷体"/>
          <w:sz w:val="32"/>
          <w:szCs w:val="32"/>
        </w:rPr>
        <w:t>（四）环境执法工作。</w:t>
      </w:r>
    </w:p>
    <w:p>
      <w:pPr>
        <w:spacing w:line="57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依法严厉打击环境违法行为，结合日常生态环境监管及各项执法行动，严厉打击偷排偷放、在线数据造假等环境违法行为。积极运用新颁布的《唐山市大气污染防治若干规定》以及按日连续计罚、查封扣押、停产限产、移交移送等配套办法，严惩环境违法行为。</w:t>
      </w:r>
    </w:p>
    <w:p>
      <w:pPr>
        <w:spacing w:line="570" w:lineRule="exact"/>
        <w:ind w:firstLine="640" w:firstLineChars="200"/>
        <w:rPr>
          <w:rFonts w:hint="eastAsia" w:ascii="Times New Roman" w:hAnsi="Times New Roman" w:eastAsia="仿宋_GB2312"/>
          <w:sz w:val="32"/>
          <w:szCs w:val="32"/>
        </w:rPr>
      </w:pPr>
    </w:p>
    <w:p>
      <w:pPr>
        <w:pStyle w:val="17"/>
        <w:numPr>
          <w:ilvl w:val="0"/>
          <w:numId w:val="5"/>
        </w:numPr>
        <w:spacing w:line="20" w:lineRule="exact"/>
        <w:ind w:firstLineChars="0"/>
        <w:rPr>
          <w:rFonts w:ascii="Times New Roman" w:hAnsi="Times New Roman" w:eastAsia="方正仿宋简体" w:cs="Times New Roman"/>
        </w:rPr>
      </w:pPr>
    </w:p>
    <w:p>
      <w:pPr>
        <w:numPr>
          <w:ilvl w:val="0"/>
          <w:numId w:val="4"/>
        </w:numPr>
        <w:ind w:firstLine="602" w:firstLineChars="200"/>
        <w:rPr>
          <w:b/>
          <w:bCs/>
          <w:sz w:val="30"/>
          <w:szCs w:val="30"/>
        </w:rPr>
      </w:pPr>
      <w:r>
        <w:rPr>
          <w:rFonts w:hint="eastAsia"/>
          <w:b/>
          <w:bCs/>
          <w:sz w:val="30"/>
          <w:szCs w:val="30"/>
        </w:rPr>
        <w:t>政府采购预算情况</w:t>
      </w:r>
    </w:p>
    <w:p>
      <w:pPr>
        <w:widowControl/>
        <w:rPr>
          <w:rFonts w:ascii="仿宋" w:hAnsi="仿宋" w:eastAsia="仿宋" w:cs="仿宋"/>
          <w:sz w:val="30"/>
          <w:szCs w:val="30"/>
        </w:rPr>
      </w:pPr>
      <w:r>
        <w:rPr>
          <w:rFonts w:hint="eastAsia" w:ascii="仿宋" w:hAnsi="仿宋" w:eastAsia="仿宋" w:cs="仿宋"/>
          <w:sz w:val="30"/>
          <w:szCs w:val="30"/>
        </w:rPr>
        <w:t>2020年，安排政府采购预算</w:t>
      </w:r>
      <w:r>
        <w:rPr>
          <w:rFonts w:ascii="仿宋" w:hAnsi="仿宋" w:eastAsia="仿宋" w:cs="仿宋"/>
          <w:sz w:val="30"/>
          <w:szCs w:val="30"/>
        </w:rPr>
        <w:t>12054.10</w:t>
      </w:r>
      <w:r>
        <w:rPr>
          <w:rFonts w:hint="eastAsia" w:ascii="仿宋" w:hAnsi="仿宋" w:eastAsia="仿宋" w:cs="仿宋"/>
          <w:sz w:val="30"/>
          <w:szCs w:val="30"/>
        </w:rPr>
        <w:t>万元，具体内容见下表:</w:t>
      </w:r>
    </w:p>
    <w:p>
      <w:pPr>
        <w:ind w:firstLine="600" w:firstLineChars="200"/>
        <w:rPr>
          <w:rFonts w:ascii="仿宋" w:hAnsi="仿宋" w:eastAsia="仿宋" w:cs="仿宋"/>
          <w:sz w:val="30"/>
          <w:szCs w:val="30"/>
        </w:rPr>
      </w:pPr>
    </w:p>
    <w:p>
      <w:pPr>
        <w:pStyle w:val="12"/>
        <w:rPr>
          <w:rFonts w:hint="eastAsia" w:ascii="Times New Roman" w:hAnsi="Times New Roman" w:eastAsia="方正仿宋简体" w:cs="宋体"/>
        </w:rPr>
      </w:pPr>
      <w:bookmarkStart w:id="0" w:name="_Toc31435"/>
    </w:p>
    <w:p>
      <w:pPr>
        <w:pStyle w:val="12"/>
        <w:rPr>
          <w:rFonts w:hint="eastAsia" w:ascii="Times New Roman" w:hAnsi="Times New Roman" w:eastAsia="方正仿宋简体" w:cs="宋体"/>
        </w:rPr>
      </w:pPr>
    </w:p>
    <w:p>
      <w:pPr>
        <w:pStyle w:val="12"/>
        <w:rPr>
          <w:rFonts w:hint="eastAsia" w:ascii="Times New Roman" w:hAnsi="Times New Roman" w:eastAsia="方正仿宋简体" w:cs="宋体"/>
        </w:rPr>
      </w:pPr>
    </w:p>
    <w:p>
      <w:pPr>
        <w:pStyle w:val="12"/>
        <w:rPr>
          <w:rFonts w:ascii="Times New Roman" w:hAnsi="Times New Roman" w:eastAsia="方正仿宋简体"/>
        </w:rPr>
      </w:pPr>
      <w:r>
        <w:rPr>
          <w:rFonts w:hint="eastAsia" w:ascii="Times New Roman" w:hAnsi="Times New Roman" w:eastAsia="方正仿宋简体" w:cs="宋体"/>
        </w:rPr>
        <w:t>部门政府采购预算</w:t>
      </w:r>
      <w:bookmarkEnd w:id="0"/>
    </w:p>
    <w:tbl>
      <w:tblPr>
        <w:tblStyle w:val="14"/>
        <w:tblW w:w="5000" w:type="pct"/>
        <w:tblInd w:w="0" w:type="dxa"/>
        <w:tblLayout w:type="fixed"/>
        <w:tblCellMar>
          <w:top w:w="0" w:type="dxa"/>
          <w:left w:w="108" w:type="dxa"/>
          <w:bottom w:w="0" w:type="dxa"/>
          <w:right w:w="108" w:type="dxa"/>
        </w:tblCellMar>
      </w:tblPr>
      <w:tblGrid>
        <w:gridCol w:w="1020"/>
        <w:gridCol w:w="986"/>
        <w:gridCol w:w="1221"/>
        <w:gridCol w:w="709"/>
        <w:gridCol w:w="1417"/>
        <w:gridCol w:w="706"/>
        <w:gridCol w:w="712"/>
        <w:gridCol w:w="567"/>
        <w:gridCol w:w="1134"/>
        <w:gridCol w:w="567"/>
        <w:gridCol w:w="1131"/>
        <w:gridCol w:w="1137"/>
        <w:gridCol w:w="706"/>
        <w:gridCol w:w="590"/>
        <w:gridCol w:w="119"/>
        <w:gridCol w:w="709"/>
        <w:gridCol w:w="743"/>
      </w:tblGrid>
      <w:tr>
        <w:tblPrEx>
          <w:tblCellMar>
            <w:top w:w="0" w:type="dxa"/>
            <w:left w:w="108" w:type="dxa"/>
            <w:bottom w:w="0" w:type="dxa"/>
            <w:right w:w="108" w:type="dxa"/>
          </w:tblCellMar>
        </w:tblPrEx>
        <w:trPr>
          <w:cantSplit/>
          <w:trHeight w:val="275" w:hRule="atLeast"/>
          <w:tblHeader/>
        </w:trPr>
        <w:tc>
          <w:tcPr>
            <w:tcW w:w="4446" w:type="pct"/>
            <w:gridSpan w:val="14"/>
            <w:tcBorders>
              <w:top w:val="nil"/>
              <w:left w:val="nil"/>
              <w:bottom w:val="single" w:color="auto" w:sz="4" w:space="0"/>
              <w:right w:val="nil"/>
            </w:tcBorders>
            <w:vAlign w:val="bottom"/>
          </w:tcPr>
          <w:p>
            <w:pPr>
              <w:widowControl/>
              <w:jc w:val="left"/>
              <w:rPr>
                <w:rFonts w:ascii="宋体" w:cs="宋体"/>
                <w:color w:val="000000"/>
                <w:kern w:val="0"/>
                <w:sz w:val="22"/>
              </w:rPr>
            </w:pPr>
            <w:r>
              <w:rPr>
                <w:rFonts w:ascii="宋体" w:hAnsi="宋体" w:cs="宋体"/>
                <w:color w:val="000000"/>
                <w:kern w:val="0"/>
                <w:sz w:val="22"/>
              </w:rPr>
              <w:t>626</w:t>
            </w:r>
            <w:r>
              <w:rPr>
                <w:rFonts w:hint="eastAsia" w:ascii="宋体" w:hAnsi="宋体" w:cs="宋体"/>
                <w:color w:val="000000"/>
                <w:kern w:val="0"/>
                <w:sz w:val="22"/>
              </w:rPr>
              <w:t>唐山市生态环境局</w:t>
            </w:r>
          </w:p>
        </w:tc>
        <w:tc>
          <w:tcPr>
            <w:tcW w:w="554" w:type="pct"/>
            <w:gridSpan w:val="3"/>
            <w:tcBorders>
              <w:top w:val="nil"/>
              <w:left w:val="nil"/>
              <w:bottom w:val="single" w:color="auto" w:sz="4" w:space="0"/>
              <w:right w:val="nil"/>
            </w:tcBorders>
            <w:vAlign w:val="bottom"/>
          </w:tcPr>
          <w:p>
            <w:pPr>
              <w:widowControl/>
              <w:jc w:val="right"/>
              <w:rPr>
                <w:rFonts w:asci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cantSplit/>
          <w:trHeight w:val="275" w:hRule="atLeast"/>
          <w:tblHeader/>
        </w:trPr>
        <w:tc>
          <w:tcPr>
            <w:tcW w:w="36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1029"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50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政府采购目录序号</w:t>
            </w:r>
          </w:p>
        </w:tc>
        <w:tc>
          <w:tcPr>
            <w:tcW w:w="24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采购物品名称</w:t>
            </w:r>
          </w:p>
        </w:tc>
        <w:tc>
          <w:tcPr>
            <w:tcW w:w="25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产品规格</w:t>
            </w:r>
          </w:p>
        </w:tc>
        <w:tc>
          <w:tcPr>
            <w:tcW w:w="20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w:t>
            </w:r>
          </w:p>
        </w:tc>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单价</w:t>
            </w:r>
            <w:r>
              <w:rPr>
                <w:rFonts w:ascii="黑体" w:hAnsi="黑体" w:eastAsia="黑体" w:cs="宋体"/>
                <w:b/>
                <w:color w:val="000000"/>
                <w:kern w:val="0"/>
                <w:szCs w:val="21"/>
              </w:rPr>
              <w:t>(</w:t>
            </w:r>
            <w:r>
              <w:rPr>
                <w:rFonts w:hint="eastAsia" w:ascii="黑体" w:hAnsi="黑体" w:eastAsia="黑体" w:cs="宋体"/>
                <w:b/>
                <w:color w:val="000000"/>
                <w:kern w:val="0"/>
                <w:szCs w:val="21"/>
              </w:rPr>
              <w:t>元</w:t>
            </w:r>
            <w:r>
              <w:rPr>
                <w:rFonts w:ascii="黑体" w:hAnsi="黑体" w:eastAsia="黑体" w:cs="宋体"/>
                <w:b/>
                <w:color w:val="000000"/>
                <w:kern w:val="0"/>
                <w:szCs w:val="21"/>
              </w:rPr>
              <w:t>)</w:t>
            </w:r>
          </w:p>
        </w:tc>
        <w:tc>
          <w:tcPr>
            <w:tcW w:w="20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数量</w:t>
            </w:r>
          </w:p>
        </w:tc>
        <w:tc>
          <w:tcPr>
            <w:tcW w:w="1811" w:type="pct"/>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CellMar>
            <w:top w:w="0" w:type="dxa"/>
            <w:left w:w="108" w:type="dxa"/>
            <w:bottom w:w="0" w:type="dxa"/>
            <w:right w:w="108" w:type="dxa"/>
          </w:tblCellMar>
        </w:tblPrEx>
        <w:trPr>
          <w:cantSplit/>
          <w:trHeight w:val="330" w:hRule="atLeast"/>
          <w:tblHeader/>
        </w:trPr>
        <w:tc>
          <w:tcPr>
            <w:tcW w:w="36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4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43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项目类型</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25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40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24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250"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26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30" w:hRule="atLeast"/>
          <w:tblHeader/>
        </w:trPr>
        <w:tc>
          <w:tcPr>
            <w:tcW w:w="36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3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3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5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39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5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cantSplit/>
          <w:trHeight w:val="330" w:hRule="atLeast"/>
          <w:tblHeader/>
        </w:trPr>
        <w:tc>
          <w:tcPr>
            <w:tcW w:w="36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34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43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5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39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40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5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合计</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12054.10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12054.10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新增处室购置办公设备</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A060205</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木制台、桌类</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木制桌子</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张</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1050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新增处室购置办公设备</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A0201060199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其他打印设备</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打印传真一体机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新增处室购置办公设备</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A060302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木骨架为主的椅凳类</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木制椅子</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把</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450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0.90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0.90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新增处室购置办公设备</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A0201060199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其他打印设备</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传真机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新增处室购置办公设备</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A02021101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碎纸机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碎纸机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0.40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0.40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新增处室购置办公设备</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A02010104</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台式计算机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台式计算机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4500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7.20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7.20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新增处室购置办公设备</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A020212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条码打印机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斑马</w:t>
            </w:r>
            <w:r>
              <w:rPr>
                <w:rFonts w:ascii="宋体" w:hAnsi="宋体" w:cs="宋体"/>
                <w:color w:val="000000"/>
                <w:kern w:val="0"/>
                <w:sz w:val="22"/>
              </w:rPr>
              <w:t>888</w:t>
            </w:r>
            <w:r>
              <w:rPr>
                <w:rFonts w:hint="eastAsia" w:ascii="宋体" w:hAnsi="宋体" w:cs="宋体"/>
                <w:color w:val="000000"/>
                <w:kern w:val="0"/>
                <w:sz w:val="22"/>
              </w:rPr>
              <w:t>条码打印机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1240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0.12</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0.12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新增处室购置办公设备</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A0201060102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激光打印机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A4</w:t>
            </w:r>
            <w:r>
              <w:rPr>
                <w:rFonts w:hint="eastAsia" w:ascii="宋体" w:hAnsi="宋体" w:cs="宋体"/>
                <w:color w:val="000000"/>
                <w:kern w:val="0"/>
                <w:sz w:val="22"/>
              </w:rPr>
              <w:t>打印机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更新公务车</w:t>
            </w:r>
            <w:r>
              <w:rPr>
                <w:rFonts w:ascii="宋体" w:hAnsi="宋体" w:cs="宋体"/>
                <w:color w:val="000000"/>
                <w:kern w:val="0"/>
                <w:sz w:val="22"/>
              </w:rPr>
              <w:t>2</w:t>
            </w:r>
            <w:r>
              <w:rPr>
                <w:rFonts w:hint="eastAsia" w:ascii="宋体" w:hAnsi="宋体" w:cs="宋体"/>
                <w:color w:val="000000"/>
                <w:kern w:val="0"/>
                <w:sz w:val="22"/>
              </w:rPr>
              <w:t>辆</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A020399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其他车辆</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新能源汽车</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辆</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191900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38.38</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38.38</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2110304</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2020</w:t>
            </w:r>
            <w:r>
              <w:rPr>
                <w:rFonts w:hint="eastAsia" w:ascii="宋体" w:hAnsi="宋体" w:cs="宋体"/>
                <w:color w:val="000000"/>
                <w:kern w:val="0"/>
                <w:sz w:val="22"/>
              </w:rPr>
              <w:t>年土壤污染防治</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C0908</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其他专业技术服务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评估报告</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顶</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1238000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123.80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123.80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2020</w:t>
            </w:r>
            <w:r>
              <w:rPr>
                <w:rFonts w:hint="eastAsia" w:ascii="宋体" w:hAnsi="宋体" w:cs="宋体"/>
                <w:color w:val="000000"/>
                <w:kern w:val="0"/>
                <w:sz w:val="22"/>
              </w:rPr>
              <w:t>年环境执法与监测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技术测试和分析服务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顶</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17016900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1701.69</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1701.69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2020</w:t>
            </w:r>
            <w:r>
              <w:rPr>
                <w:rFonts w:hint="eastAsia" w:ascii="宋体" w:hAnsi="宋体" w:cs="宋体"/>
                <w:color w:val="000000"/>
                <w:kern w:val="0"/>
                <w:sz w:val="22"/>
              </w:rPr>
              <w:t>年环境执法与监测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C0399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其他电信和信息传输服务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4g</w:t>
            </w:r>
            <w:r>
              <w:rPr>
                <w:rFonts w:hint="eastAsia" w:ascii="宋体" w:hAnsi="宋体" w:cs="宋体"/>
                <w:color w:val="000000"/>
                <w:kern w:val="0"/>
                <w:sz w:val="22"/>
              </w:rPr>
              <w:t>网络</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2020</w:t>
            </w:r>
            <w:r>
              <w:rPr>
                <w:rFonts w:hint="eastAsia" w:ascii="宋体" w:hAnsi="宋体" w:cs="宋体"/>
                <w:color w:val="000000"/>
                <w:kern w:val="0"/>
                <w:sz w:val="22"/>
              </w:rPr>
              <w:t>年环境执法与监测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C0399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其他电信和信息传输服务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光纤通讯服务</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顶</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1457700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145.77</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145.77</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2110302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2020</w:t>
            </w:r>
            <w:r>
              <w:rPr>
                <w:rFonts w:hint="eastAsia" w:ascii="宋体" w:hAnsi="宋体" w:cs="宋体"/>
                <w:color w:val="000000"/>
                <w:kern w:val="0"/>
                <w:sz w:val="22"/>
              </w:rPr>
              <w:t>年水污染防治</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C160299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其他水污染治理服务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12674400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1267.44</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1267.44</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2110301</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2020</w:t>
            </w:r>
            <w:r>
              <w:rPr>
                <w:rFonts w:hint="eastAsia" w:ascii="宋体" w:hAnsi="宋体" w:cs="宋体"/>
                <w:color w:val="000000"/>
                <w:kern w:val="0"/>
                <w:sz w:val="22"/>
              </w:rPr>
              <w:t>年大气污染防治</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C0908</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其他专业技术服务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34442300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3444.23</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3444.23</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2110301</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2020</w:t>
            </w:r>
            <w:r>
              <w:rPr>
                <w:rFonts w:hint="eastAsia" w:ascii="宋体" w:hAnsi="宋体" w:cs="宋体"/>
                <w:color w:val="000000"/>
                <w:kern w:val="0"/>
                <w:sz w:val="22"/>
              </w:rPr>
              <w:t>年大气污染防治</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A032401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大气污染防治设备</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大气污染防治</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30807700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3080.77</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3080.77</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唐山市环境执法支队</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执法记录存储设备购买</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A02010508</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移动存储设备</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10T</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个</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唐山市环境执法支队</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购买执法用无人机</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A033299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其他航空器及其配套设备</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低空飞行</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唐山市生态环境局丰润区分局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购买公务车</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A020399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其他车辆</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1.8t</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辆</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24.00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24.00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唐山市丰润区环境执法大队</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违规建设项目评估费</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C0908</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其他专业技术服务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680000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68.00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68.00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唐山市空气质量预报预警系统运行维护费</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C020601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基础环境运维服务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仪器维修保养费</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C0502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办公设备维修和保养服务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新建实验楼改造配套工程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B010699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其他事业单位用房施工</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2660000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266.00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266.00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乡镇空气站监测审核平台运行维护</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C0908</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其他专业技术服务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乡镇空气站监测审核平台建设</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750000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75.00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75.00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实验设备装备购置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A032499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其他环境污染防治设备</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实验设备装备购置</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2700000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270.00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270.00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在用机动车环保检验监管保障服务</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C160302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汽车尾气污染治理服务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重点排污单位监督性监测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技术测试和分析服务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涉及重金属污染企业监督性监测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技术测试和分析服务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固定污染源废气挥发性有机物专项检查监测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技术测试和分析服务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280000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28.00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28.00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全市主要河流生态补偿监测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技术测试和分析服务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地下水水质监测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技术测试和分析服务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加油站油气回收设施抽查检测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C160301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大气污染治理服务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290000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29.00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29.00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油气回收在线监控平台运行维护</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C160301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大气污染治理服务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280000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28.00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28.00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在用车及非道路移动机械监督抽测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C160302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汽车尾气污染治理服务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市控空气站运行维护</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C160301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大气污染治理服务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750000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75.00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75.00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唐山市空气站搬迁综合技术服务</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C169999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其他环境治理服务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唐山市生态环境局芦台经济开发区分局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办公设备购置（台式机、打印机）</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A020299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其他办公设备</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针式打印机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0.40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0.40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唐山市生态环境局芦台经济开发区分局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办公设备购置（台式机、打印机）</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A02010104</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台式计算机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1.5-2.0GHZ;</w:t>
            </w:r>
            <w:r>
              <w:rPr>
                <w:rFonts w:hint="eastAsia" w:ascii="宋体" w:hAnsi="宋体" w:cs="宋体"/>
                <w:color w:val="000000"/>
                <w:kern w:val="0"/>
                <w:sz w:val="22"/>
              </w:rPr>
              <w:t>内存</w:t>
            </w:r>
            <w:r>
              <w:rPr>
                <w:rFonts w:ascii="宋体" w:hAnsi="宋体" w:cs="宋体"/>
                <w:color w:val="000000"/>
                <w:kern w:val="0"/>
                <w:sz w:val="22"/>
              </w:rPr>
              <w:t>8G</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3.90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3.90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唐山市生态环境局丰南区分局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A0206180203</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空调机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柜式空调</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唐山市生态环境局丰南区分局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A0206180203</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空调机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挂式空调</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唐山市生态环境局丰南区分局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A02010104</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台式计算机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台式计算机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7.80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7.80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唐山市生态环境局丰南区分局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A060205</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木制台、桌类</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办公桌</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张</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1100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1.10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1.10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唐山市生态环境局丰南区分局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A060302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木骨架为主的椅凳类</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办公椅</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把</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唐山市生态环境局丰南区分局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A060503</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金属质柜类</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五节柜</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0.80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0.80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唐山市生态环境局丰南区分局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A0201060102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激光打印机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激光打印机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唐山市生态环境局丰南区分局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会议室电子显示屏更新改造</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A02091001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普通电视设备</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电视机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唐山市生态环境局迁安市分局机关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2110101</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购置公务车</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A020399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其他车辆</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1.8t</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辆</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125000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A0201060199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其他打印设备</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便携式打印机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A02010105</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便携式计算机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笔记本电脑</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4.80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4.80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A0201060102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激光打印机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A4</w:t>
            </w:r>
            <w:r>
              <w:rPr>
                <w:rFonts w:hint="eastAsia" w:ascii="宋体" w:hAnsi="宋体" w:cs="宋体"/>
                <w:color w:val="000000"/>
                <w:kern w:val="0"/>
                <w:sz w:val="22"/>
              </w:rPr>
              <w:t>打印机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3.15</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3.15</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A060205</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木制台、桌类</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会议桌</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套</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35000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3.50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3.50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A02010104</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台式计算机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台式电脑</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4500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7.65</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7.65</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2110101</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路检路查汽车尾气检测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C169999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其他环境治理服务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监测</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辆</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36.00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36.00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2110302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河道预警监测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C160299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其他水污染治理服务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水样监测</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个</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路检路查汽车尾气检测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C169999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其他环境治理服务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监测</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辆</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36.00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36.00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监控中心一农场治超站汽车尾气检测服务</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C169999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其他环境治理服务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监测</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个</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36.00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36.00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监控中心空气站运维费</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C160399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其他空气污染治理服务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监测</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75000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执法大队聘请第三方监测费</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C169999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其他环境治理服务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监测</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个</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唐山市生态环境局乐亭县分局全额事业（</w:t>
            </w:r>
            <w:r>
              <w:rPr>
                <w:rFonts w:ascii="宋体" w:hAnsi="宋体" w:cs="宋体"/>
                <w:color w:val="000000"/>
                <w:kern w:val="0"/>
                <w:sz w:val="22"/>
              </w:rPr>
              <w:t>5</w:t>
            </w:r>
            <w:r>
              <w:rPr>
                <w:rFonts w:hint="eastAsia" w:ascii="宋体" w:hAnsi="宋体" w:cs="宋体"/>
                <w:color w:val="000000"/>
                <w:kern w:val="0"/>
                <w:sz w:val="22"/>
              </w:rPr>
              <w:t>家）</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执法无人机购置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A033204</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飞行器</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33000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唐山市生态环境局乐亭县分局全额事业（</w:t>
            </w:r>
            <w:r>
              <w:rPr>
                <w:rFonts w:ascii="宋体" w:hAnsi="宋体" w:cs="宋体"/>
                <w:color w:val="000000"/>
                <w:kern w:val="0"/>
                <w:sz w:val="22"/>
              </w:rPr>
              <w:t>5</w:t>
            </w:r>
            <w:r>
              <w:rPr>
                <w:rFonts w:hint="eastAsia" w:ascii="宋体" w:hAnsi="宋体" w:cs="宋体"/>
                <w:color w:val="000000"/>
                <w:kern w:val="0"/>
                <w:sz w:val="22"/>
              </w:rPr>
              <w:t>家）</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购置公务用车</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A020399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其他车辆</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1.8t</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辆</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205000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20.50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20.50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唐山市生态环境局乐亭县分局全额事业（</w:t>
            </w:r>
            <w:r>
              <w:rPr>
                <w:rFonts w:ascii="宋体" w:hAnsi="宋体" w:cs="宋体"/>
                <w:color w:val="000000"/>
                <w:kern w:val="0"/>
                <w:sz w:val="22"/>
              </w:rPr>
              <w:t>5</w:t>
            </w:r>
            <w:r>
              <w:rPr>
                <w:rFonts w:hint="eastAsia" w:ascii="宋体" w:hAnsi="宋体" w:cs="宋体"/>
                <w:color w:val="000000"/>
                <w:kern w:val="0"/>
                <w:sz w:val="22"/>
              </w:rPr>
              <w:t>家）</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购买服务</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C0908</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其他专业技术服务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提交技术报告</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个</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唐山市生态环境局乐亭县分局全额事业（</w:t>
            </w:r>
            <w:r>
              <w:rPr>
                <w:rFonts w:ascii="宋体" w:hAnsi="宋体" w:cs="宋体"/>
                <w:color w:val="000000"/>
                <w:kern w:val="0"/>
                <w:sz w:val="22"/>
              </w:rPr>
              <w:t>5</w:t>
            </w:r>
            <w:r>
              <w:rPr>
                <w:rFonts w:hint="eastAsia" w:ascii="宋体" w:hAnsi="宋体" w:cs="宋体"/>
                <w:color w:val="000000"/>
                <w:kern w:val="0"/>
                <w:sz w:val="22"/>
              </w:rPr>
              <w:t>家）</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ind w:right="428" w:rightChars="204"/>
              <w:jc w:val="center"/>
              <w:rPr>
                <w:rFonts w:ascii="宋体" w:cs="宋体"/>
                <w:color w:val="000000"/>
                <w:kern w:val="0"/>
                <w:sz w:val="22"/>
              </w:rPr>
            </w:pPr>
            <w:r>
              <w:rPr>
                <w:rFonts w:hint="eastAsia" w:ascii="宋体" w:hAnsi="宋体" w:cs="宋体"/>
                <w:color w:val="000000"/>
                <w:kern w:val="0"/>
                <w:sz w:val="22"/>
              </w:rPr>
              <w:t>购买服务</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C0908</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其他专业技术服务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提交技术报告</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个</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唐山市生态环境局滦州市分局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2110101</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购买公务用车</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A020399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其他车辆</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1.8t</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辆</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145000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29.00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29.00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唐山市生态环境局滦南县分局机关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2110101</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台式计算机</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A02010104</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台式计算机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涉密台式</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6.50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6.50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唐山市生态环境局滦南县分局机关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购置公务车</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A020399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其他车辆</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新能源车及执法车</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辆</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32.00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32.00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bl>
    <w:p>
      <w:pPr>
        <w:ind w:firstLine="602" w:firstLineChars="200"/>
        <w:rPr>
          <w:b/>
          <w:bCs/>
          <w:sz w:val="30"/>
          <w:szCs w:val="30"/>
        </w:rPr>
      </w:pPr>
    </w:p>
    <w:p>
      <w:pPr>
        <w:pStyle w:val="12"/>
        <w:rPr>
          <w:rFonts w:hint="eastAsia"/>
        </w:rPr>
      </w:pPr>
      <w:bookmarkStart w:id="1" w:name="_Toc28712121"/>
      <w:bookmarkStart w:id="2" w:name="_Toc355951230"/>
    </w:p>
    <w:p>
      <w:pPr>
        <w:pStyle w:val="12"/>
        <w:rPr>
          <w:rFonts w:hint="eastAsia"/>
        </w:rPr>
      </w:pPr>
    </w:p>
    <w:p>
      <w:pPr>
        <w:pStyle w:val="12"/>
        <w:rPr>
          <w:rFonts w:hint="eastAsia"/>
        </w:rPr>
      </w:pPr>
    </w:p>
    <w:p>
      <w:pPr>
        <w:pStyle w:val="12"/>
        <w:rPr>
          <w:rFonts w:hint="eastAsia"/>
        </w:rPr>
      </w:pPr>
    </w:p>
    <w:p>
      <w:pPr>
        <w:pStyle w:val="12"/>
      </w:pPr>
      <w:r>
        <w:rPr>
          <w:rFonts w:hint="eastAsia"/>
        </w:rPr>
        <w:t>部门组织政府非税收入预算明细表</w:t>
      </w:r>
      <w:bookmarkEnd w:id="1"/>
      <w:bookmarkEnd w:id="2"/>
    </w:p>
    <w:tbl>
      <w:tblPr>
        <w:tblStyle w:val="14"/>
        <w:tblW w:w="14701" w:type="dxa"/>
        <w:tblInd w:w="-15" w:type="dxa"/>
        <w:tblLayout w:type="fixed"/>
        <w:tblCellMar>
          <w:top w:w="0" w:type="dxa"/>
          <w:left w:w="108" w:type="dxa"/>
          <w:bottom w:w="0" w:type="dxa"/>
          <w:right w:w="108" w:type="dxa"/>
        </w:tblCellMar>
      </w:tblPr>
      <w:tblGrid>
        <w:gridCol w:w="3134"/>
        <w:gridCol w:w="1206"/>
        <w:gridCol w:w="1134"/>
        <w:gridCol w:w="986"/>
        <w:gridCol w:w="993"/>
        <w:gridCol w:w="850"/>
        <w:gridCol w:w="709"/>
        <w:gridCol w:w="1136"/>
        <w:gridCol w:w="990"/>
        <w:gridCol w:w="986"/>
        <w:gridCol w:w="992"/>
        <w:gridCol w:w="850"/>
        <w:gridCol w:w="735"/>
      </w:tblGrid>
      <w:tr>
        <w:tblPrEx>
          <w:tblCellMar>
            <w:top w:w="0" w:type="dxa"/>
            <w:left w:w="108" w:type="dxa"/>
            <w:bottom w:w="0" w:type="dxa"/>
            <w:right w:w="108" w:type="dxa"/>
          </w:tblCellMar>
        </w:tblPrEx>
        <w:trPr>
          <w:cantSplit/>
          <w:trHeight w:val="279" w:hRule="atLeast"/>
          <w:tblHeader/>
        </w:trPr>
        <w:tc>
          <w:tcPr>
            <w:tcW w:w="10148" w:type="dxa"/>
            <w:gridSpan w:val="8"/>
            <w:tcBorders>
              <w:top w:val="nil"/>
              <w:left w:val="nil"/>
              <w:bottom w:val="single" w:color="auto" w:sz="4" w:space="0"/>
              <w:right w:val="nil"/>
            </w:tcBorders>
            <w:vAlign w:val="bottom"/>
          </w:tcPr>
          <w:p>
            <w:pPr>
              <w:widowControl/>
              <w:jc w:val="left"/>
              <w:rPr>
                <w:rFonts w:ascii="宋体" w:cs="宋体"/>
                <w:color w:val="000000"/>
                <w:kern w:val="0"/>
                <w:sz w:val="28"/>
                <w:szCs w:val="28"/>
              </w:rPr>
            </w:pPr>
            <w:r>
              <w:rPr>
                <w:rFonts w:ascii="宋体" w:hAnsi="宋体" w:cs="宋体"/>
                <w:color w:val="000000"/>
                <w:kern w:val="0"/>
                <w:sz w:val="28"/>
                <w:szCs w:val="28"/>
              </w:rPr>
              <w:t>626</w:t>
            </w:r>
            <w:r>
              <w:rPr>
                <w:rFonts w:hint="eastAsia" w:ascii="宋体" w:hAnsi="宋体" w:cs="宋体"/>
                <w:color w:val="000000"/>
                <w:kern w:val="0"/>
                <w:sz w:val="28"/>
                <w:szCs w:val="28"/>
              </w:rPr>
              <w:t>唐山市生态环境局</w:t>
            </w:r>
          </w:p>
        </w:tc>
        <w:tc>
          <w:tcPr>
            <w:tcW w:w="4553" w:type="dxa"/>
            <w:gridSpan w:val="5"/>
            <w:tcBorders>
              <w:top w:val="nil"/>
              <w:left w:val="nil"/>
              <w:bottom w:val="single" w:color="auto" w:sz="4" w:space="0"/>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79" w:hRule="atLeast"/>
          <w:tblHeader/>
        </w:trPr>
        <w:tc>
          <w:tcPr>
            <w:tcW w:w="3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12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收入科目编码</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收入项目名称</w:t>
            </w:r>
          </w:p>
        </w:tc>
        <w:tc>
          <w:tcPr>
            <w:tcW w:w="986" w:type="dxa"/>
            <w:vMerge w:val="restart"/>
            <w:tcBorders>
              <w:top w:val="single" w:color="auto" w:sz="4" w:space="0"/>
              <w:left w:val="single" w:color="auto" w:sz="4" w:space="0"/>
              <w:bottom w:val="single" w:color="000000" w:sz="4" w:space="0"/>
              <w:right w:val="nil"/>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6656" w:type="dxa"/>
            <w:gridSpan w:val="7"/>
            <w:tcBorders>
              <w:top w:val="single" w:color="auto" w:sz="4" w:space="0"/>
              <w:left w:val="single" w:color="auto" w:sz="4" w:space="0"/>
              <w:bottom w:val="nil"/>
              <w:right w:val="single" w:color="000000"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政府性基金收入</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23" w:hRule="atLeast"/>
          <w:tblHeader/>
        </w:trPr>
        <w:tc>
          <w:tcPr>
            <w:tcW w:w="3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986"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cs="宋体"/>
                <w:color w:val="000000"/>
                <w:kern w:val="0"/>
                <w:sz w:val="22"/>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小计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行政事业性收费</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专项收入</w:t>
            </w:r>
          </w:p>
        </w:tc>
        <w:tc>
          <w:tcPr>
            <w:tcW w:w="113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国有资产（资源）有偿使用收入</w:t>
            </w:r>
          </w:p>
        </w:tc>
        <w:tc>
          <w:tcPr>
            <w:tcW w:w="99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国有资本经营收入</w:t>
            </w:r>
          </w:p>
        </w:tc>
        <w:tc>
          <w:tcPr>
            <w:tcW w:w="98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罚没收入</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其他收入</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cantSplit/>
          <w:trHeight w:val="323" w:hRule="atLeast"/>
          <w:tblHeader/>
        </w:trPr>
        <w:tc>
          <w:tcPr>
            <w:tcW w:w="3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986"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cs="宋体"/>
                <w:color w:val="000000"/>
                <w:kern w:val="0"/>
                <w:sz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13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99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98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cantSplit/>
          <w:trHeight w:val="323" w:hRule="atLeast"/>
          <w:tblHeader/>
        </w:trPr>
        <w:tc>
          <w:tcPr>
            <w:tcW w:w="3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986"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cs="宋体"/>
                <w:color w:val="000000"/>
                <w:kern w:val="0"/>
                <w:sz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right"/>
              <w:rPr>
                <w:rFonts w:ascii="宋体" w:cs="宋体"/>
                <w:color w:val="000000"/>
                <w:kern w:val="0"/>
                <w:sz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right"/>
              <w:rPr>
                <w:rFonts w:ascii="宋体" w:cs="宋体"/>
                <w:color w:val="000000"/>
                <w:kern w:val="0"/>
                <w:sz w:val="22"/>
              </w:rPr>
            </w:pPr>
          </w:p>
        </w:tc>
        <w:tc>
          <w:tcPr>
            <w:tcW w:w="1136" w:type="dxa"/>
            <w:vMerge w:val="continue"/>
            <w:tcBorders>
              <w:top w:val="single" w:color="auto" w:sz="4" w:space="0"/>
              <w:left w:val="single" w:color="auto" w:sz="4" w:space="0"/>
              <w:bottom w:val="single" w:color="000000" w:sz="4" w:space="0"/>
              <w:right w:val="single" w:color="auto" w:sz="4" w:space="0"/>
            </w:tcBorders>
            <w:vAlign w:val="center"/>
          </w:tcPr>
          <w:p>
            <w:pPr>
              <w:widowControl/>
              <w:jc w:val="right"/>
              <w:rPr>
                <w:rFonts w:ascii="宋体" w:cs="宋体"/>
                <w:color w:val="000000"/>
                <w:kern w:val="0"/>
                <w:sz w:val="22"/>
              </w:rPr>
            </w:pPr>
          </w:p>
        </w:tc>
        <w:tc>
          <w:tcPr>
            <w:tcW w:w="990" w:type="dxa"/>
            <w:vMerge w:val="continue"/>
            <w:tcBorders>
              <w:top w:val="single" w:color="auto" w:sz="4" w:space="0"/>
              <w:left w:val="single" w:color="auto" w:sz="4" w:space="0"/>
              <w:bottom w:val="single" w:color="000000" w:sz="4" w:space="0"/>
              <w:right w:val="single" w:color="auto" w:sz="4" w:space="0"/>
            </w:tcBorders>
            <w:vAlign w:val="center"/>
          </w:tcPr>
          <w:p>
            <w:pPr>
              <w:widowControl/>
              <w:jc w:val="right"/>
              <w:rPr>
                <w:rFonts w:ascii="宋体" w:cs="宋体"/>
                <w:color w:val="000000"/>
                <w:kern w:val="0"/>
                <w:sz w:val="22"/>
              </w:rPr>
            </w:pPr>
          </w:p>
        </w:tc>
        <w:tc>
          <w:tcPr>
            <w:tcW w:w="986" w:type="dxa"/>
            <w:vMerge w:val="continue"/>
            <w:tcBorders>
              <w:top w:val="single" w:color="auto" w:sz="4" w:space="0"/>
              <w:left w:val="single" w:color="auto" w:sz="4" w:space="0"/>
              <w:bottom w:val="single" w:color="000000" w:sz="4" w:space="0"/>
              <w:right w:val="single" w:color="auto" w:sz="4" w:space="0"/>
            </w:tcBorders>
            <w:vAlign w:val="center"/>
          </w:tcPr>
          <w:p>
            <w:pPr>
              <w:widowControl/>
              <w:jc w:val="right"/>
              <w:rPr>
                <w:rFonts w:ascii="宋体" w:cs="宋体"/>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right"/>
              <w:rPr>
                <w:rFonts w:ascii="宋体" w:cs="宋体"/>
                <w:color w:val="000000"/>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p>
        </w:tc>
      </w:tr>
      <w:tr>
        <w:tblPrEx>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唐山市生态环境局</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103029999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其他专项收入</w:t>
            </w:r>
          </w:p>
        </w:tc>
        <w:tc>
          <w:tcPr>
            <w:tcW w:w="986" w:type="dxa"/>
            <w:tcBorders>
              <w:top w:val="single" w:color="auto" w:sz="4" w:space="0"/>
              <w:left w:val="single" w:color="auto" w:sz="4" w:space="0"/>
              <w:bottom w:val="single" w:color="auto" w:sz="4" w:space="0"/>
              <w:right w:val="nil"/>
            </w:tcBorders>
            <w:vAlign w:val="center"/>
          </w:tcPr>
          <w:p>
            <w:pPr>
              <w:widowControl/>
              <w:jc w:val="left"/>
              <w:rPr>
                <w:rFonts w:ascii="宋体" w:hAnsi="宋体" w:cs="宋体"/>
                <w:color w:val="000000"/>
                <w:kern w:val="0"/>
                <w:sz w:val="22"/>
              </w:rPr>
            </w:pPr>
            <w:r>
              <w:rPr>
                <w:rFonts w:ascii="宋体" w:hAnsi="宋体" w:cs="宋体"/>
                <w:color w:val="000000"/>
                <w:kern w:val="0"/>
                <w:sz w:val="22"/>
              </w:rPr>
              <w:t>982.00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982.00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982.00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唐山市环境执法支队</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103050199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其他一般罚没收入</w:t>
            </w:r>
          </w:p>
        </w:tc>
        <w:tc>
          <w:tcPr>
            <w:tcW w:w="986" w:type="dxa"/>
            <w:tcBorders>
              <w:top w:val="single" w:color="auto" w:sz="4" w:space="0"/>
              <w:left w:val="single" w:color="auto" w:sz="4" w:space="0"/>
              <w:bottom w:val="single" w:color="auto" w:sz="4" w:space="0"/>
              <w:right w:val="nil"/>
            </w:tcBorders>
            <w:vAlign w:val="center"/>
          </w:tcPr>
          <w:p>
            <w:pPr>
              <w:widowControl/>
              <w:jc w:val="left"/>
              <w:rPr>
                <w:rFonts w:ascii="宋体" w:hAnsi="宋体" w:cs="宋体"/>
                <w:color w:val="000000"/>
                <w:kern w:val="0"/>
                <w:sz w:val="22"/>
              </w:rPr>
            </w:pPr>
            <w:r>
              <w:rPr>
                <w:rFonts w:ascii="宋体" w:hAnsi="宋体" w:cs="宋体"/>
                <w:color w:val="000000"/>
                <w:kern w:val="0"/>
                <w:sz w:val="22"/>
              </w:rPr>
              <w:t>19.00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19.00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19.00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唐山市生态环境局古冶区分局</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103050199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其他一般罚没收入</w:t>
            </w:r>
          </w:p>
        </w:tc>
        <w:tc>
          <w:tcPr>
            <w:tcW w:w="986" w:type="dxa"/>
            <w:tcBorders>
              <w:top w:val="single" w:color="auto" w:sz="4" w:space="0"/>
              <w:left w:val="single" w:color="auto" w:sz="4" w:space="0"/>
              <w:bottom w:val="single" w:color="auto" w:sz="4" w:space="0"/>
              <w:right w:val="nil"/>
            </w:tcBorders>
            <w:vAlign w:val="center"/>
          </w:tcPr>
          <w:p>
            <w:pPr>
              <w:widowControl/>
              <w:jc w:val="left"/>
              <w:rPr>
                <w:rFonts w:ascii="宋体" w:hAnsi="宋体" w:cs="宋体"/>
                <w:color w:val="000000"/>
                <w:kern w:val="0"/>
                <w:sz w:val="22"/>
              </w:rPr>
            </w:pPr>
            <w:r>
              <w:rPr>
                <w:rFonts w:ascii="宋体" w:hAnsi="宋体" w:cs="宋体"/>
                <w:color w:val="000000"/>
                <w:kern w:val="0"/>
                <w:sz w:val="22"/>
              </w:rPr>
              <w:t>500.00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唐山市生态环境局芦台经济开发区分局</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103050199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其他一般罚没收入</w:t>
            </w:r>
          </w:p>
        </w:tc>
        <w:tc>
          <w:tcPr>
            <w:tcW w:w="986" w:type="dxa"/>
            <w:tcBorders>
              <w:top w:val="single" w:color="auto" w:sz="4" w:space="0"/>
              <w:left w:val="single" w:color="auto" w:sz="4" w:space="0"/>
              <w:bottom w:val="single" w:color="auto" w:sz="4" w:space="0"/>
              <w:right w:val="nil"/>
            </w:tcBorders>
            <w:vAlign w:val="center"/>
          </w:tcPr>
          <w:p>
            <w:pPr>
              <w:widowControl/>
              <w:jc w:val="left"/>
              <w:rPr>
                <w:rFonts w:ascii="宋体" w:hAnsi="宋体" w:cs="宋体"/>
                <w:color w:val="000000"/>
                <w:kern w:val="0"/>
                <w:sz w:val="22"/>
              </w:rPr>
            </w:pPr>
            <w:r>
              <w:rPr>
                <w:rFonts w:ascii="宋体" w:hAnsi="宋体" w:cs="宋体"/>
                <w:color w:val="000000"/>
                <w:kern w:val="0"/>
                <w:sz w:val="22"/>
              </w:rPr>
              <w:t>50.00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唐山市生态环境局汉沽管理区分局</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103050199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其他一般罚没收入</w:t>
            </w:r>
          </w:p>
        </w:tc>
        <w:tc>
          <w:tcPr>
            <w:tcW w:w="986" w:type="dxa"/>
            <w:tcBorders>
              <w:top w:val="single" w:color="auto" w:sz="4" w:space="0"/>
              <w:left w:val="single" w:color="auto" w:sz="4" w:space="0"/>
              <w:bottom w:val="single" w:color="auto" w:sz="4" w:space="0"/>
              <w:right w:val="nil"/>
            </w:tcBorders>
            <w:vAlign w:val="center"/>
          </w:tcPr>
          <w:p>
            <w:pPr>
              <w:widowControl/>
              <w:jc w:val="left"/>
              <w:rPr>
                <w:rFonts w:ascii="宋体" w:hAnsi="宋体" w:cs="宋体"/>
                <w:color w:val="000000"/>
                <w:kern w:val="0"/>
                <w:sz w:val="22"/>
              </w:rPr>
            </w:pPr>
            <w:r>
              <w:rPr>
                <w:rFonts w:ascii="宋体" w:hAnsi="宋体" w:cs="宋体"/>
                <w:color w:val="000000"/>
                <w:kern w:val="0"/>
                <w:sz w:val="22"/>
              </w:rPr>
              <w:t>50.00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唐山市生态环境局玉田县分局机关</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103050199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其他一般罚没收入</w:t>
            </w:r>
          </w:p>
        </w:tc>
        <w:tc>
          <w:tcPr>
            <w:tcW w:w="986" w:type="dxa"/>
            <w:tcBorders>
              <w:top w:val="single" w:color="auto" w:sz="4" w:space="0"/>
              <w:left w:val="single" w:color="auto" w:sz="4" w:space="0"/>
              <w:bottom w:val="single" w:color="auto" w:sz="4" w:space="0"/>
              <w:right w:val="nil"/>
            </w:tcBorders>
            <w:vAlign w:val="center"/>
          </w:tcPr>
          <w:p>
            <w:pPr>
              <w:widowControl/>
              <w:jc w:val="left"/>
              <w:rPr>
                <w:rFonts w:ascii="宋体" w:hAnsi="宋体" w:cs="宋体"/>
                <w:color w:val="000000"/>
                <w:kern w:val="0"/>
                <w:sz w:val="22"/>
              </w:rPr>
            </w:pPr>
            <w:r>
              <w:rPr>
                <w:rFonts w:ascii="宋体" w:hAnsi="宋体" w:cs="宋体"/>
                <w:color w:val="000000"/>
                <w:kern w:val="0"/>
                <w:sz w:val="22"/>
              </w:rPr>
              <w:t>500.00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合计</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986" w:type="dxa"/>
            <w:tcBorders>
              <w:top w:val="single" w:color="auto" w:sz="4" w:space="0"/>
              <w:left w:val="single" w:color="auto" w:sz="4" w:space="0"/>
              <w:bottom w:val="single" w:color="000000" w:sz="4" w:space="0"/>
              <w:right w:val="nil"/>
            </w:tcBorders>
            <w:vAlign w:val="center"/>
          </w:tcPr>
          <w:p>
            <w:pPr>
              <w:widowControl/>
              <w:jc w:val="left"/>
              <w:rPr>
                <w:rFonts w:ascii="宋体" w:hAnsi="宋体" w:cs="宋体"/>
                <w:color w:val="000000"/>
                <w:kern w:val="0"/>
                <w:sz w:val="22"/>
              </w:rPr>
            </w:pPr>
            <w:r>
              <w:rPr>
                <w:rFonts w:ascii="宋体" w:hAnsi="宋体" w:cs="宋体"/>
                <w:color w:val="000000"/>
                <w:kern w:val="0"/>
                <w:sz w:val="22"/>
              </w:rPr>
              <w:t>2101.00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2101.00</w:t>
            </w:r>
          </w:p>
        </w:tc>
        <w:tc>
          <w:tcPr>
            <w:tcW w:w="850" w:type="dxa"/>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990" w:type="dxa"/>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986" w:type="dxa"/>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2101.00</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Pr>
        <w:ind w:firstLine="602" w:firstLineChars="200"/>
        <w:rPr>
          <w:rFonts w:hint="eastAsia"/>
          <w:b/>
          <w:bCs/>
          <w:sz w:val="30"/>
          <w:szCs w:val="30"/>
        </w:rPr>
      </w:pPr>
    </w:p>
    <w:p>
      <w:pPr>
        <w:ind w:firstLine="602" w:firstLineChars="200"/>
        <w:rPr>
          <w:rFonts w:hint="eastAsia"/>
          <w:b/>
          <w:bCs/>
          <w:sz w:val="30"/>
          <w:szCs w:val="30"/>
        </w:rPr>
      </w:pPr>
    </w:p>
    <w:p>
      <w:pPr>
        <w:ind w:firstLine="602" w:firstLineChars="200"/>
        <w:rPr>
          <w:b/>
          <w:bCs/>
          <w:sz w:val="30"/>
          <w:szCs w:val="30"/>
        </w:rPr>
      </w:pPr>
      <w:r>
        <w:rPr>
          <w:rFonts w:hint="eastAsia"/>
          <w:b/>
          <w:bCs/>
          <w:sz w:val="30"/>
          <w:szCs w:val="30"/>
        </w:rPr>
        <w:t>七、国有资产信息情况</w:t>
      </w:r>
    </w:p>
    <w:p>
      <w:pPr>
        <w:numPr>
          <w:ilvl w:val="0"/>
          <w:numId w:val="6"/>
        </w:numPr>
        <w:spacing w:line="560" w:lineRule="exact"/>
        <w:ind w:left="420" w:leftChars="200" w:firstLine="640" w:firstLineChars="200"/>
        <w:rPr>
          <w:rFonts w:ascii="仿宋" w:hAnsi="仿宋" w:eastAsia="仿宋" w:cs="仿宋"/>
          <w:sz w:val="32"/>
          <w:szCs w:val="32"/>
        </w:rPr>
      </w:pPr>
      <w:r>
        <w:rPr>
          <w:rFonts w:hint="eastAsia" w:ascii="仿宋" w:hAnsi="仿宋" w:eastAsia="仿宋" w:cs="仿宋"/>
          <w:sz w:val="32"/>
          <w:szCs w:val="32"/>
        </w:rPr>
        <w:t>截至2019年12月31日，我局固定资产总额</w:t>
      </w:r>
      <w:r>
        <w:rPr>
          <w:rFonts w:ascii="仿宋_GB2312" w:hAnsi="宋体" w:eastAsia="仿宋_GB2312" w:cs="宋体"/>
          <w:color w:val="000000"/>
          <w:kern w:val="0"/>
          <w:sz w:val="30"/>
          <w:szCs w:val="30"/>
        </w:rPr>
        <w:t xml:space="preserve"> 183</w:t>
      </w:r>
      <w:r>
        <w:rPr>
          <w:rFonts w:hint="eastAsia" w:ascii="仿宋_GB2312" w:hAnsi="宋体" w:eastAsia="仿宋_GB2312" w:cs="宋体"/>
          <w:color w:val="000000"/>
          <w:kern w:val="0"/>
          <w:sz w:val="30"/>
          <w:szCs w:val="30"/>
        </w:rPr>
        <w:t>97.81</w:t>
      </w:r>
      <w:r>
        <w:rPr>
          <w:rFonts w:hint="eastAsia" w:ascii="仿宋" w:hAnsi="仿宋" w:eastAsia="仿宋" w:cs="仿宋"/>
          <w:sz w:val="32"/>
          <w:szCs w:val="32"/>
        </w:rPr>
        <w:t>万元（具体情况见下表）。</w:t>
      </w:r>
    </w:p>
    <w:tbl>
      <w:tblPr>
        <w:tblStyle w:val="14"/>
        <w:tblpPr w:leftFromText="180" w:rightFromText="180" w:vertAnchor="text" w:horzAnchor="margin" w:tblpXSpec="center" w:tblpY="441"/>
        <w:tblW w:w="9324" w:type="dxa"/>
        <w:tblInd w:w="0" w:type="dxa"/>
        <w:tblLayout w:type="fixed"/>
        <w:tblCellMar>
          <w:top w:w="0" w:type="dxa"/>
          <w:left w:w="108" w:type="dxa"/>
          <w:bottom w:w="0" w:type="dxa"/>
          <w:right w:w="108" w:type="dxa"/>
        </w:tblCellMar>
      </w:tblPr>
      <w:tblGrid>
        <w:gridCol w:w="4428"/>
        <w:gridCol w:w="2376"/>
        <w:gridCol w:w="1944"/>
        <w:gridCol w:w="576"/>
      </w:tblGrid>
      <w:tr>
        <w:tblPrEx>
          <w:tblCellMar>
            <w:top w:w="0" w:type="dxa"/>
            <w:left w:w="108" w:type="dxa"/>
            <w:bottom w:w="0" w:type="dxa"/>
            <w:right w:w="108" w:type="dxa"/>
          </w:tblCellMar>
        </w:tblPrEx>
        <w:trPr>
          <w:gridAfter w:val="1"/>
          <w:wAfter w:w="576" w:type="dxa"/>
          <w:trHeight w:val="595" w:hRule="atLeast"/>
        </w:trPr>
        <w:tc>
          <w:tcPr>
            <w:tcW w:w="8748" w:type="dxa"/>
            <w:gridSpan w:val="3"/>
            <w:shd w:val="clear" w:color="auto" w:fill="auto"/>
            <w:vAlign w:val="bottom"/>
          </w:tcPr>
          <w:p>
            <w:pPr>
              <w:widowControl/>
              <w:ind w:firstLine="643" w:firstLineChars="200"/>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固定资产占用情况表</w:t>
            </w:r>
          </w:p>
        </w:tc>
      </w:tr>
      <w:tr>
        <w:tblPrEx>
          <w:tblCellMar>
            <w:top w:w="0" w:type="dxa"/>
            <w:left w:w="108" w:type="dxa"/>
            <w:bottom w:w="0" w:type="dxa"/>
            <w:right w:w="108" w:type="dxa"/>
          </w:tblCellMar>
        </w:tblPrEx>
        <w:trPr>
          <w:gridAfter w:val="1"/>
          <w:wAfter w:w="576" w:type="dxa"/>
          <w:trHeight w:val="441" w:hRule="atLeast"/>
        </w:trPr>
        <w:tc>
          <w:tcPr>
            <w:tcW w:w="4428" w:type="dxa"/>
            <w:tcBorders>
              <w:bottom w:val="single" w:color="000000" w:sz="4" w:space="0"/>
            </w:tcBorders>
            <w:shd w:val="clear" w:color="auto" w:fill="auto"/>
            <w:vAlign w:val="bottom"/>
          </w:tcPr>
          <w:p>
            <w:pPr>
              <w:widowControl/>
              <w:ind w:firstLine="440" w:firstLineChars="200"/>
              <w:jc w:val="left"/>
              <w:rPr>
                <w:rFonts w:ascii="仿宋_GB2312" w:hAnsi="宋体" w:eastAsia="仿宋_GB2312" w:cs="宋体"/>
                <w:color w:val="000000"/>
                <w:kern w:val="0"/>
                <w:sz w:val="22"/>
                <w:szCs w:val="22"/>
              </w:rPr>
            </w:pPr>
          </w:p>
        </w:tc>
        <w:tc>
          <w:tcPr>
            <w:tcW w:w="4320" w:type="dxa"/>
            <w:gridSpan w:val="2"/>
            <w:tcBorders>
              <w:bottom w:val="single" w:color="000000" w:sz="4" w:space="0"/>
            </w:tcBorders>
            <w:shd w:val="clear" w:color="auto" w:fill="auto"/>
            <w:vAlign w:val="bottom"/>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截至时间：</w:t>
            </w:r>
            <w:r>
              <w:rPr>
                <w:rFonts w:hint="eastAsia" w:ascii="仿宋_GB2312" w:hAnsi="宋体" w:eastAsia="仿宋_GB2312" w:cs="宋体"/>
                <w:kern w:val="0"/>
                <w:sz w:val="24"/>
              </w:rPr>
              <w:t>2019</w:t>
            </w:r>
            <w:r>
              <w:rPr>
                <w:rFonts w:hint="eastAsia" w:ascii="仿宋_GB2312" w:hAnsi="宋体" w:eastAsia="仿宋_GB2312" w:cs="宋体"/>
                <w:color w:val="000000"/>
                <w:kern w:val="0"/>
                <w:sz w:val="24"/>
              </w:rPr>
              <w:t>年</w:t>
            </w:r>
            <w:r>
              <w:rPr>
                <w:rFonts w:hint="eastAsia" w:ascii="仿宋_GB2312" w:hAnsi="宋体" w:eastAsia="仿宋_GB2312" w:cs="宋体"/>
                <w:kern w:val="0"/>
                <w:sz w:val="24"/>
              </w:rPr>
              <w:t>12</w:t>
            </w:r>
            <w:r>
              <w:rPr>
                <w:rFonts w:hint="eastAsia" w:ascii="仿宋_GB2312" w:hAnsi="宋体" w:eastAsia="仿宋_GB2312" w:cs="宋体"/>
                <w:color w:val="000000"/>
                <w:kern w:val="0"/>
                <w:sz w:val="24"/>
              </w:rPr>
              <w:t>月</w:t>
            </w:r>
            <w:r>
              <w:rPr>
                <w:rFonts w:hint="eastAsia" w:ascii="仿宋_GB2312" w:hAnsi="宋体" w:eastAsia="仿宋_GB2312" w:cs="宋体"/>
                <w:kern w:val="0"/>
                <w:sz w:val="24"/>
              </w:rPr>
              <w:t>31</w:t>
            </w:r>
            <w:r>
              <w:rPr>
                <w:rFonts w:hint="eastAsia" w:ascii="仿宋_GB2312" w:hAnsi="宋体" w:eastAsia="仿宋_GB2312" w:cs="宋体"/>
                <w:color w:val="000000"/>
                <w:kern w:val="0"/>
                <w:sz w:val="24"/>
              </w:rPr>
              <w:t>日</w:t>
            </w:r>
          </w:p>
        </w:tc>
      </w:tr>
      <w:tr>
        <w:tblPrEx>
          <w:tblCellMar>
            <w:top w:w="0" w:type="dxa"/>
            <w:left w:w="108" w:type="dxa"/>
            <w:bottom w:w="0" w:type="dxa"/>
            <w:right w:w="108" w:type="dxa"/>
          </w:tblCellMar>
        </w:tblPrEx>
        <w:trPr>
          <w:trHeight w:val="591" w:hRule="atLeast"/>
        </w:trPr>
        <w:tc>
          <w:tcPr>
            <w:tcW w:w="4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　　目</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数量</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金额（万元）</w:t>
            </w:r>
          </w:p>
        </w:tc>
      </w:tr>
      <w:tr>
        <w:tblPrEx>
          <w:tblCellMar>
            <w:top w:w="0" w:type="dxa"/>
            <w:left w:w="108" w:type="dxa"/>
            <w:bottom w:w="0" w:type="dxa"/>
            <w:right w:w="108" w:type="dxa"/>
          </w:tblCellMar>
        </w:tblPrEx>
        <w:trPr>
          <w:trHeight w:val="458" w:hRule="atLeast"/>
        </w:trPr>
        <w:tc>
          <w:tcPr>
            <w:tcW w:w="4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left"/>
              <w:rPr>
                <w:rFonts w:ascii="仿宋_GB2312" w:hAnsi="宋体" w:eastAsia="仿宋_GB2312" w:cs="宋体"/>
                <w:color w:val="000000"/>
                <w:kern w:val="0"/>
                <w:sz w:val="32"/>
                <w:szCs w:val="32"/>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left"/>
              <w:rPr>
                <w:rFonts w:ascii="仿宋_GB2312" w:hAnsi="宋体" w:eastAsia="仿宋_GB2312" w:cs="宋体"/>
                <w:color w:val="000000"/>
                <w:kern w:val="0"/>
                <w:sz w:val="32"/>
                <w:szCs w:val="32"/>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left"/>
              <w:rPr>
                <w:rFonts w:ascii="仿宋_GB2312" w:hAnsi="宋体" w:eastAsia="仿宋_GB2312" w:cs="宋体"/>
                <w:color w:val="000000"/>
                <w:kern w:val="0"/>
                <w:sz w:val="32"/>
                <w:szCs w:val="32"/>
              </w:rPr>
            </w:pPr>
          </w:p>
        </w:tc>
      </w:tr>
      <w:tr>
        <w:tblPrEx>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资产总额</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183</w:t>
            </w:r>
            <w:r>
              <w:rPr>
                <w:rFonts w:hint="eastAsia" w:ascii="仿宋_GB2312" w:hAnsi="宋体" w:eastAsia="仿宋_GB2312" w:cs="宋体"/>
                <w:color w:val="000000"/>
                <w:kern w:val="0"/>
                <w:sz w:val="30"/>
                <w:szCs w:val="30"/>
              </w:rPr>
              <w:t>97.8163</w:t>
            </w:r>
          </w:p>
        </w:tc>
      </w:tr>
      <w:tr>
        <w:tblPrEx>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一、房屋（平方米）</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2894</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584.0401</w:t>
            </w:r>
          </w:p>
        </w:tc>
      </w:tr>
      <w:tr>
        <w:tblPrEx>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其中：办公用房</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2894</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584.0401</w:t>
            </w:r>
          </w:p>
        </w:tc>
      </w:tr>
      <w:tr>
        <w:tblPrEx>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二、汽车（台、辆）</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14</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173.5957</w:t>
            </w:r>
          </w:p>
        </w:tc>
      </w:tr>
      <w:tr>
        <w:tblPrEx>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三、其他固定资产</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17640.1805</w:t>
            </w:r>
          </w:p>
        </w:tc>
      </w:tr>
    </w:tbl>
    <w:p>
      <w:pPr>
        <w:ind w:firstLine="640" w:firstLineChars="200"/>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widowControl/>
        <w:rPr>
          <w:rFonts w:hint="eastAsia" w:ascii="仿宋" w:hAnsi="仿宋" w:eastAsia="仿宋" w:cs="仿宋"/>
          <w:sz w:val="32"/>
          <w:szCs w:val="32"/>
        </w:rPr>
      </w:pPr>
      <w:r>
        <w:rPr>
          <w:rFonts w:hint="eastAsia" w:ascii="仿宋" w:hAnsi="仿宋" w:eastAsia="仿宋" w:cs="仿宋"/>
          <w:sz w:val="32"/>
          <w:szCs w:val="32"/>
        </w:rPr>
        <w:t xml:space="preserve">    2、2020年，拟购置的国有资产总额为12054.10万元，为打印机、传真机`、电脑、桌椅、照相机、空调、摄像机、公务用车、移动存储设备、大气污染治理服务、环境执法与检测专项设备等，已列入2020年政府采购预算（具体情况见部门政府采购预算表）。</w:t>
      </w:r>
    </w:p>
    <w:p>
      <w:pPr>
        <w:spacing w:line="560" w:lineRule="exact"/>
        <w:ind w:firstLine="602" w:firstLineChars="200"/>
        <w:rPr>
          <w:b/>
          <w:bCs/>
          <w:sz w:val="30"/>
          <w:szCs w:val="30"/>
        </w:rPr>
      </w:pPr>
      <w:r>
        <w:rPr>
          <w:rFonts w:hint="eastAsia"/>
          <w:b/>
          <w:bCs/>
          <w:sz w:val="30"/>
          <w:szCs w:val="30"/>
        </w:rPr>
        <w:t>八、专业名词解释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1、基本支出：指为保障机构正常运转、完成日常工作任务而发生的人员支出和公用支出（正常公用和专项公用）。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2、项目支出：指在基本支出之外为完成特定行政任务和事业发展目标所发生的支出。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三公”经费：纳入市级财政预算管理的“三公”经费，是指市级部门用财政拨款安排的因公出国（境）费、公务用车购置及运行费和公务接待费。其中，因公出国（境）费反映单位公务出国（境）住宿费、旅费、伙食补助费、杂费、培训费等支出；公务用车购置及运行费反映单位公务用车购置及租用费、燃料费、维修费、过路过桥费、保险费、安全奖励费用等支出；公务接待费反映单位按规定开支的各类公务接待（含外宾接待）支出。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九、其他需说明的事项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我部门无国有资本经营预算，无政府基金预算。因此相关表格数据为零。</w:t>
      </w:r>
      <w:bookmarkStart w:id="3" w:name="_GoBack"/>
      <w:bookmarkEnd w:id="3"/>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crosoft Sans Serif">
    <w:panose1 w:val="020B0604020202020204"/>
    <w:charset w:val="00"/>
    <w:family w:val="swiss"/>
    <w:pitch w:val="default"/>
    <w:sig w:usb0="E5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812E0"/>
    <w:multiLevelType w:val="singleLevel"/>
    <w:tmpl w:val="58F812E0"/>
    <w:lvl w:ilvl="0" w:tentative="0">
      <w:start w:val="1"/>
      <w:numFmt w:val="chineseCounting"/>
      <w:suff w:val="nothing"/>
      <w:lvlText w:val="%1、"/>
      <w:lvlJc w:val="left"/>
    </w:lvl>
  </w:abstractNum>
  <w:abstractNum w:abstractNumId="1">
    <w:nsid w:val="58F81300"/>
    <w:multiLevelType w:val="singleLevel"/>
    <w:tmpl w:val="58F81300"/>
    <w:lvl w:ilvl="0" w:tentative="0">
      <w:start w:val="2"/>
      <w:numFmt w:val="chineseCounting"/>
      <w:suff w:val="nothing"/>
      <w:lvlText w:val="%1、"/>
      <w:lvlJc w:val="left"/>
    </w:lvl>
  </w:abstractNum>
  <w:abstractNum w:abstractNumId="2">
    <w:nsid w:val="58F81311"/>
    <w:multiLevelType w:val="singleLevel"/>
    <w:tmpl w:val="58F81311"/>
    <w:lvl w:ilvl="0" w:tentative="0">
      <w:start w:val="1"/>
      <w:numFmt w:val="chineseCounting"/>
      <w:suff w:val="nothing"/>
      <w:lvlText w:val="（%1）"/>
      <w:lvlJc w:val="left"/>
    </w:lvl>
  </w:abstractNum>
  <w:abstractNum w:abstractNumId="3">
    <w:nsid w:val="58F816D6"/>
    <w:multiLevelType w:val="singleLevel"/>
    <w:tmpl w:val="58F816D6"/>
    <w:lvl w:ilvl="0" w:tentative="0">
      <w:start w:val="3"/>
      <w:numFmt w:val="chineseCounting"/>
      <w:suff w:val="nothing"/>
      <w:lvlText w:val="%1、"/>
      <w:lvlJc w:val="left"/>
    </w:lvl>
  </w:abstractNum>
  <w:abstractNum w:abstractNumId="4">
    <w:nsid w:val="58F8225E"/>
    <w:multiLevelType w:val="singleLevel"/>
    <w:tmpl w:val="58F8225E"/>
    <w:lvl w:ilvl="0" w:tentative="0">
      <w:start w:val="6"/>
      <w:numFmt w:val="chineseCounting"/>
      <w:suff w:val="nothing"/>
      <w:lvlText w:val="%1、"/>
      <w:lvlJc w:val="left"/>
    </w:lvl>
  </w:abstractNum>
  <w:abstractNum w:abstractNumId="5">
    <w:nsid w:val="59015ABE"/>
    <w:multiLevelType w:val="singleLevel"/>
    <w:tmpl w:val="59015ABE"/>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17B3DF6"/>
    <w:rsid w:val="00007933"/>
    <w:rsid w:val="00032113"/>
    <w:rsid w:val="000561E1"/>
    <w:rsid w:val="00065101"/>
    <w:rsid w:val="00070C5E"/>
    <w:rsid w:val="00096169"/>
    <w:rsid w:val="000A767E"/>
    <w:rsid w:val="000B38D0"/>
    <w:rsid w:val="000F3AC0"/>
    <w:rsid w:val="000F3BDB"/>
    <w:rsid w:val="001271B4"/>
    <w:rsid w:val="0014659F"/>
    <w:rsid w:val="00146FAF"/>
    <w:rsid w:val="00150679"/>
    <w:rsid w:val="00171A43"/>
    <w:rsid w:val="00187C00"/>
    <w:rsid w:val="001A00CC"/>
    <w:rsid w:val="001B50D9"/>
    <w:rsid w:val="001C2B20"/>
    <w:rsid w:val="001D53B8"/>
    <w:rsid w:val="001E0F13"/>
    <w:rsid w:val="001E28AE"/>
    <w:rsid w:val="001E7361"/>
    <w:rsid w:val="001F7732"/>
    <w:rsid w:val="00227687"/>
    <w:rsid w:val="002545CA"/>
    <w:rsid w:val="00264F14"/>
    <w:rsid w:val="002A0E1A"/>
    <w:rsid w:val="002B2E4D"/>
    <w:rsid w:val="002C505C"/>
    <w:rsid w:val="00315F13"/>
    <w:rsid w:val="00321B15"/>
    <w:rsid w:val="0033086F"/>
    <w:rsid w:val="003414E3"/>
    <w:rsid w:val="00347686"/>
    <w:rsid w:val="00351D10"/>
    <w:rsid w:val="003734EB"/>
    <w:rsid w:val="003831D1"/>
    <w:rsid w:val="003B5845"/>
    <w:rsid w:val="003E32AF"/>
    <w:rsid w:val="0041042D"/>
    <w:rsid w:val="00410C23"/>
    <w:rsid w:val="0042537A"/>
    <w:rsid w:val="00435AA3"/>
    <w:rsid w:val="00456F40"/>
    <w:rsid w:val="00456FCC"/>
    <w:rsid w:val="0047386D"/>
    <w:rsid w:val="004845F1"/>
    <w:rsid w:val="004929DF"/>
    <w:rsid w:val="004B4CF8"/>
    <w:rsid w:val="004B655B"/>
    <w:rsid w:val="004D29CB"/>
    <w:rsid w:val="004F47EA"/>
    <w:rsid w:val="005014D9"/>
    <w:rsid w:val="00514E7E"/>
    <w:rsid w:val="00526683"/>
    <w:rsid w:val="00530832"/>
    <w:rsid w:val="00531B02"/>
    <w:rsid w:val="0059555C"/>
    <w:rsid w:val="005A5FAD"/>
    <w:rsid w:val="005C320B"/>
    <w:rsid w:val="005D08C2"/>
    <w:rsid w:val="005D4094"/>
    <w:rsid w:val="00644E58"/>
    <w:rsid w:val="00661EC6"/>
    <w:rsid w:val="006C79BB"/>
    <w:rsid w:val="006D0A5D"/>
    <w:rsid w:val="00714A9E"/>
    <w:rsid w:val="007239F2"/>
    <w:rsid w:val="007538A7"/>
    <w:rsid w:val="00766836"/>
    <w:rsid w:val="00784A0C"/>
    <w:rsid w:val="00785518"/>
    <w:rsid w:val="0079184B"/>
    <w:rsid w:val="007935EC"/>
    <w:rsid w:val="007B17BA"/>
    <w:rsid w:val="007B2237"/>
    <w:rsid w:val="007B483A"/>
    <w:rsid w:val="007F3267"/>
    <w:rsid w:val="00800A4C"/>
    <w:rsid w:val="00805A70"/>
    <w:rsid w:val="00816A5D"/>
    <w:rsid w:val="0085659A"/>
    <w:rsid w:val="008739F0"/>
    <w:rsid w:val="00880B60"/>
    <w:rsid w:val="00882D1B"/>
    <w:rsid w:val="008B7BA6"/>
    <w:rsid w:val="008C40C4"/>
    <w:rsid w:val="008D4372"/>
    <w:rsid w:val="008E1B92"/>
    <w:rsid w:val="008E7158"/>
    <w:rsid w:val="008F0886"/>
    <w:rsid w:val="008F38BC"/>
    <w:rsid w:val="008F7A44"/>
    <w:rsid w:val="00951F48"/>
    <w:rsid w:val="009753B9"/>
    <w:rsid w:val="00982C32"/>
    <w:rsid w:val="00997C4E"/>
    <w:rsid w:val="009A5A38"/>
    <w:rsid w:val="009B3DC2"/>
    <w:rsid w:val="00A05289"/>
    <w:rsid w:val="00A47EAA"/>
    <w:rsid w:val="00A71A67"/>
    <w:rsid w:val="00A9650A"/>
    <w:rsid w:val="00AA165C"/>
    <w:rsid w:val="00AA4265"/>
    <w:rsid w:val="00AB6E55"/>
    <w:rsid w:val="00AD66BD"/>
    <w:rsid w:val="00AF40E7"/>
    <w:rsid w:val="00B468BD"/>
    <w:rsid w:val="00B56C25"/>
    <w:rsid w:val="00B85FD7"/>
    <w:rsid w:val="00BA68B0"/>
    <w:rsid w:val="00BB6E1E"/>
    <w:rsid w:val="00BD5F6B"/>
    <w:rsid w:val="00C115E3"/>
    <w:rsid w:val="00C47C19"/>
    <w:rsid w:val="00CA5AA3"/>
    <w:rsid w:val="00CA77A0"/>
    <w:rsid w:val="00CC20EE"/>
    <w:rsid w:val="00CC487D"/>
    <w:rsid w:val="00CD25C8"/>
    <w:rsid w:val="00CD3309"/>
    <w:rsid w:val="00CE405D"/>
    <w:rsid w:val="00CF3567"/>
    <w:rsid w:val="00D10835"/>
    <w:rsid w:val="00D16DE5"/>
    <w:rsid w:val="00D41E4E"/>
    <w:rsid w:val="00D72F81"/>
    <w:rsid w:val="00D82F88"/>
    <w:rsid w:val="00D867EE"/>
    <w:rsid w:val="00DA202C"/>
    <w:rsid w:val="00DB2BEC"/>
    <w:rsid w:val="00DE245B"/>
    <w:rsid w:val="00DE4EBC"/>
    <w:rsid w:val="00DE7898"/>
    <w:rsid w:val="00E079AE"/>
    <w:rsid w:val="00E2455F"/>
    <w:rsid w:val="00E258BD"/>
    <w:rsid w:val="00E26265"/>
    <w:rsid w:val="00E30D5C"/>
    <w:rsid w:val="00E660F4"/>
    <w:rsid w:val="00E763A5"/>
    <w:rsid w:val="00E909B6"/>
    <w:rsid w:val="00EA1BE0"/>
    <w:rsid w:val="00EA6318"/>
    <w:rsid w:val="00EA698E"/>
    <w:rsid w:val="00EB44BB"/>
    <w:rsid w:val="00ED3AC4"/>
    <w:rsid w:val="00ED67A5"/>
    <w:rsid w:val="00EF6312"/>
    <w:rsid w:val="00F120BB"/>
    <w:rsid w:val="00F3757A"/>
    <w:rsid w:val="00F443D7"/>
    <w:rsid w:val="00F70F7E"/>
    <w:rsid w:val="00F76E13"/>
    <w:rsid w:val="00F77F36"/>
    <w:rsid w:val="00FF4071"/>
    <w:rsid w:val="017B3DF6"/>
    <w:rsid w:val="04E310AA"/>
    <w:rsid w:val="05AC635C"/>
    <w:rsid w:val="0C417D30"/>
    <w:rsid w:val="11FD6002"/>
    <w:rsid w:val="199C75CF"/>
    <w:rsid w:val="1B7D0F65"/>
    <w:rsid w:val="1C2E1B46"/>
    <w:rsid w:val="1CDE3E6D"/>
    <w:rsid w:val="1DA53498"/>
    <w:rsid w:val="1E0019D0"/>
    <w:rsid w:val="1E6A79DD"/>
    <w:rsid w:val="1F9A4F15"/>
    <w:rsid w:val="20506ED3"/>
    <w:rsid w:val="21943296"/>
    <w:rsid w:val="21CA5B44"/>
    <w:rsid w:val="21EA372F"/>
    <w:rsid w:val="21F80679"/>
    <w:rsid w:val="2B1256BE"/>
    <w:rsid w:val="2B1C1478"/>
    <w:rsid w:val="316D11F9"/>
    <w:rsid w:val="32E44B71"/>
    <w:rsid w:val="341761E8"/>
    <w:rsid w:val="38610808"/>
    <w:rsid w:val="3A1D75D8"/>
    <w:rsid w:val="3B442C0A"/>
    <w:rsid w:val="3C070073"/>
    <w:rsid w:val="3CE36A58"/>
    <w:rsid w:val="41DA6345"/>
    <w:rsid w:val="4C375484"/>
    <w:rsid w:val="4EE82033"/>
    <w:rsid w:val="53226611"/>
    <w:rsid w:val="567D4453"/>
    <w:rsid w:val="5DFD7092"/>
    <w:rsid w:val="5F0F2B4A"/>
    <w:rsid w:val="6162033C"/>
    <w:rsid w:val="61ED4A5A"/>
    <w:rsid w:val="63A5064A"/>
    <w:rsid w:val="64243C68"/>
    <w:rsid w:val="67E126CC"/>
    <w:rsid w:val="69CD1666"/>
    <w:rsid w:val="6D931EAE"/>
    <w:rsid w:val="6F531F70"/>
    <w:rsid w:val="6FAD0CE0"/>
    <w:rsid w:val="72B91558"/>
    <w:rsid w:val="76574868"/>
    <w:rsid w:val="7660395B"/>
    <w:rsid w:val="769E7470"/>
    <w:rsid w:val="76BD5FCF"/>
    <w:rsid w:val="7C0A6B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rFonts w:ascii="Calibri" w:hAnsi="Calibri" w:eastAsia="宋体" w:cs="Calibri"/>
      <w:b/>
      <w:bCs/>
      <w:kern w:val="44"/>
      <w:sz w:val="44"/>
      <w:szCs w:val="44"/>
    </w:rPr>
  </w:style>
  <w:style w:type="paragraph" w:styleId="3">
    <w:name w:val="heading 3"/>
    <w:basedOn w:val="1"/>
    <w:next w:val="1"/>
    <w:link w:val="21"/>
    <w:qFormat/>
    <w:uiPriority w:val="99"/>
    <w:pPr>
      <w:keepNext/>
      <w:keepLines/>
      <w:spacing w:before="260" w:after="260" w:line="416" w:lineRule="auto"/>
      <w:outlineLvl w:val="2"/>
    </w:pPr>
    <w:rPr>
      <w:rFonts w:ascii="Calibri" w:hAnsi="Calibri" w:eastAsia="宋体" w:cs="Calibri"/>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8"/>
    <w:qFormat/>
    <w:uiPriority w:val="99"/>
    <w:pPr>
      <w:spacing w:after="120"/>
    </w:pPr>
    <w:rPr>
      <w:rFonts w:ascii="Calibri" w:hAnsi="Calibri" w:eastAsia="宋体" w:cs="Times New Roman"/>
      <w:sz w:val="22"/>
      <w:szCs w:val="22"/>
    </w:rPr>
  </w:style>
  <w:style w:type="paragraph" w:styleId="5">
    <w:name w:val="Body Text Indent"/>
    <w:basedOn w:val="1"/>
    <w:link w:val="25"/>
    <w:qFormat/>
    <w:uiPriority w:val="99"/>
    <w:pPr>
      <w:widowControl/>
      <w:spacing w:before="100" w:beforeAutospacing="1" w:after="100" w:afterAutospacing="1"/>
      <w:jc w:val="left"/>
    </w:pPr>
    <w:rPr>
      <w:rFonts w:ascii="宋体" w:hAnsi="宋体" w:eastAsia="宋体" w:cs="宋体"/>
      <w:kern w:val="0"/>
      <w:sz w:val="24"/>
    </w:rPr>
  </w:style>
  <w:style w:type="paragraph" w:styleId="6">
    <w:name w:val="toc 3"/>
    <w:basedOn w:val="1"/>
    <w:next w:val="1"/>
    <w:qFormat/>
    <w:uiPriority w:val="99"/>
    <w:pPr>
      <w:ind w:left="840" w:leftChars="400"/>
    </w:pPr>
    <w:rPr>
      <w:rFonts w:ascii="Calibri" w:hAnsi="Calibri" w:eastAsia="宋体" w:cs="Calibri"/>
      <w:szCs w:val="21"/>
    </w:rPr>
  </w:style>
  <w:style w:type="paragraph" w:styleId="7">
    <w:name w:val="Balloon Text"/>
    <w:basedOn w:val="1"/>
    <w:link w:val="26"/>
    <w:unhideWhenUsed/>
    <w:qFormat/>
    <w:uiPriority w:val="99"/>
    <w:rPr>
      <w:rFonts w:ascii="Times New Roman" w:hAnsi="Times New Roman" w:eastAsia="宋体" w:cs="Calibri"/>
      <w:sz w:val="18"/>
      <w:szCs w:val="18"/>
    </w:rPr>
  </w:style>
  <w:style w:type="paragraph" w:styleId="8">
    <w:name w:val="footer"/>
    <w:basedOn w:val="1"/>
    <w:link w:val="22"/>
    <w:qFormat/>
    <w:uiPriority w:val="99"/>
    <w:pPr>
      <w:tabs>
        <w:tab w:val="center" w:pos="4153"/>
        <w:tab w:val="right" w:pos="8306"/>
      </w:tabs>
      <w:snapToGrid w:val="0"/>
      <w:jc w:val="left"/>
    </w:pPr>
    <w:rPr>
      <w:rFonts w:ascii="Calibri" w:hAnsi="Calibri" w:eastAsia="宋体" w:cs="Times New Roman"/>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toc 1"/>
    <w:basedOn w:val="1"/>
    <w:next w:val="1"/>
    <w:qFormat/>
    <w:uiPriority w:val="99"/>
    <w:rPr>
      <w:rFonts w:ascii="Calibri" w:hAnsi="Calibri" w:eastAsia="宋体" w:cs="Calibri"/>
      <w:szCs w:val="21"/>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12">
    <w:name w:val="Title"/>
    <w:basedOn w:val="1"/>
    <w:next w:val="1"/>
    <w:link w:val="18"/>
    <w:qFormat/>
    <w:uiPriority w:val="99"/>
    <w:pPr>
      <w:spacing w:before="240" w:after="60"/>
      <w:jc w:val="center"/>
      <w:outlineLvl w:val="0"/>
    </w:pPr>
    <w:rPr>
      <w:rFonts w:ascii="Cambria" w:hAnsi="Cambria" w:eastAsia="宋体" w:cs="Times New Roman"/>
      <w:b/>
      <w:bCs/>
      <w:sz w:val="32"/>
      <w:szCs w:val="32"/>
    </w:rPr>
  </w:style>
  <w:style w:type="paragraph" w:styleId="13">
    <w:name w:val="Body Text First Indent 2"/>
    <w:basedOn w:val="5"/>
    <w:link w:val="37"/>
    <w:qFormat/>
    <w:uiPriority w:val="99"/>
    <w:pPr>
      <w:widowControl w:val="0"/>
      <w:spacing w:before="0" w:beforeAutospacing="0" w:after="120" w:afterAutospacing="0"/>
      <w:ind w:left="420" w:leftChars="200" w:firstLine="420" w:firstLineChars="200"/>
      <w:jc w:val="both"/>
    </w:pPr>
    <w:rPr>
      <w:rFonts w:ascii="Times New Roman" w:hAnsi="Calibri" w:cs="Times New Roman"/>
    </w:rPr>
  </w:style>
  <w:style w:type="character" w:styleId="16">
    <w:name w:val="Hyperlink"/>
    <w:qFormat/>
    <w:uiPriority w:val="99"/>
    <w:rPr>
      <w:color w:val="0000FF"/>
      <w:u w:val="single"/>
    </w:rPr>
  </w:style>
  <w:style w:type="paragraph" w:styleId="17">
    <w:name w:val="List Paragraph"/>
    <w:basedOn w:val="1"/>
    <w:unhideWhenUsed/>
    <w:qFormat/>
    <w:uiPriority w:val="99"/>
    <w:pPr>
      <w:ind w:firstLine="420" w:firstLineChars="200"/>
    </w:pPr>
  </w:style>
  <w:style w:type="character" w:customStyle="1" w:styleId="18">
    <w:name w:val="标题 Char"/>
    <w:link w:val="12"/>
    <w:qFormat/>
    <w:locked/>
    <w:uiPriority w:val="99"/>
    <w:rPr>
      <w:rFonts w:ascii="Cambria" w:hAnsi="Cambria" w:eastAsia="宋体" w:cs="Times New Roman"/>
      <w:b/>
      <w:bCs/>
      <w:kern w:val="2"/>
      <w:sz w:val="32"/>
      <w:szCs w:val="32"/>
    </w:rPr>
  </w:style>
  <w:style w:type="character" w:customStyle="1" w:styleId="19">
    <w:name w:val="页眉 Char"/>
    <w:basedOn w:val="15"/>
    <w:link w:val="9"/>
    <w:qFormat/>
    <w:locked/>
    <w:uiPriority w:val="99"/>
    <w:rPr>
      <w:rFonts w:ascii="Calibri" w:hAnsi="Calibri" w:eastAsia="宋体" w:cs="Times New Roman"/>
      <w:kern w:val="2"/>
      <w:sz w:val="18"/>
      <w:szCs w:val="18"/>
    </w:rPr>
  </w:style>
  <w:style w:type="character" w:customStyle="1" w:styleId="20">
    <w:name w:val="标题 1 Char"/>
    <w:basedOn w:val="15"/>
    <w:link w:val="2"/>
    <w:qFormat/>
    <w:uiPriority w:val="99"/>
    <w:rPr>
      <w:rFonts w:ascii="Calibri" w:hAnsi="Calibri" w:cs="Calibri"/>
      <w:b/>
      <w:bCs/>
      <w:kern w:val="44"/>
      <w:sz w:val="44"/>
      <w:szCs w:val="44"/>
    </w:rPr>
  </w:style>
  <w:style w:type="character" w:customStyle="1" w:styleId="21">
    <w:name w:val="标题 3 Char"/>
    <w:basedOn w:val="15"/>
    <w:link w:val="3"/>
    <w:qFormat/>
    <w:uiPriority w:val="99"/>
    <w:rPr>
      <w:rFonts w:ascii="Calibri" w:hAnsi="Calibri" w:cs="Calibri"/>
      <w:b/>
      <w:bCs/>
      <w:kern w:val="2"/>
      <w:sz w:val="32"/>
      <w:szCs w:val="32"/>
    </w:rPr>
  </w:style>
  <w:style w:type="character" w:customStyle="1" w:styleId="22">
    <w:name w:val="页脚 Char"/>
    <w:link w:val="8"/>
    <w:qFormat/>
    <w:locked/>
    <w:uiPriority w:val="99"/>
    <w:rPr>
      <w:rFonts w:ascii="Calibri" w:hAnsi="Calibri"/>
      <w:kern w:val="2"/>
      <w:sz w:val="18"/>
      <w:szCs w:val="18"/>
    </w:rPr>
  </w:style>
  <w:style w:type="character" w:customStyle="1" w:styleId="23">
    <w:name w:val="正文文本缩进 Char"/>
    <w:link w:val="5"/>
    <w:qFormat/>
    <w:locked/>
    <w:uiPriority w:val="99"/>
    <w:rPr>
      <w:rFonts w:ascii="宋体" w:hAnsi="宋体" w:cs="宋体"/>
      <w:sz w:val="24"/>
      <w:szCs w:val="24"/>
    </w:rPr>
  </w:style>
  <w:style w:type="character" w:customStyle="1" w:styleId="24">
    <w:name w:val="批注框文本 Char"/>
    <w:link w:val="7"/>
    <w:qFormat/>
    <w:uiPriority w:val="99"/>
    <w:rPr>
      <w:rFonts w:cs="Calibri"/>
      <w:kern w:val="2"/>
      <w:sz w:val="18"/>
      <w:szCs w:val="18"/>
    </w:rPr>
  </w:style>
  <w:style w:type="character" w:customStyle="1" w:styleId="25">
    <w:name w:val="正文文本缩进 Char1"/>
    <w:basedOn w:val="15"/>
    <w:link w:val="5"/>
    <w:qFormat/>
    <w:uiPriority w:val="0"/>
    <w:rPr>
      <w:rFonts w:asciiTheme="minorHAnsi" w:hAnsiTheme="minorHAnsi" w:eastAsiaTheme="minorEastAsia" w:cstheme="minorBidi"/>
      <w:kern w:val="2"/>
      <w:sz w:val="21"/>
      <w:szCs w:val="24"/>
    </w:rPr>
  </w:style>
  <w:style w:type="character" w:customStyle="1" w:styleId="26">
    <w:name w:val="批注框文本 Char1"/>
    <w:basedOn w:val="15"/>
    <w:link w:val="7"/>
    <w:qFormat/>
    <w:uiPriority w:val="0"/>
    <w:rPr>
      <w:rFonts w:asciiTheme="minorHAnsi" w:hAnsiTheme="minorHAnsi" w:eastAsiaTheme="minorEastAsia" w:cstheme="minorBidi"/>
      <w:kern w:val="2"/>
      <w:sz w:val="18"/>
      <w:szCs w:val="18"/>
    </w:rPr>
  </w:style>
  <w:style w:type="paragraph" w:customStyle="1" w:styleId="27">
    <w:name w:val="p0"/>
    <w:basedOn w:val="1"/>
    <w:qFormat/>
    <w:uiPriority w:val="99"/>
    <w:pPr>
      <w:widowControl/>
    </w:pPr>
    <w:rPr>
      <w:rFonts w:ascii="Calibri" w:hAnsi="Calibri" w:eastAsia="宋体" w:cs="Calibri"/>
      <w:kern w:val="0"/>
      <w:szCs w:val="21"/>
    </w:rPr>
  </w:style>
  <w:style w:type="paragraph" w:customStyle="1" w:styleId="28">
    <w:name w:val="正文文本缩进1"/>
    <w:basedOn w:val="1"/>
    <w:qFormat/>
    <w:uiPriority w:val="99"/>
    <w:pPr>
      <w:widowControl/>
      <w:spacing w:line="500" w:lineRule="exact"/>
      <w:ind w:firstLine="640"/>
    </w:pPr>
    <w:rPr>
      <w:rFonts w:ascii="Times New Roman" w:hAnsi="Times New Roman" w:eastAsia="宋体" w:cs="Times New Roman"/>
      <w:kern w:val="0"/>
      <w:sz w:val="32"/>
      <w:szCs w:val="32"/>
      <w:lang w:eastAsia="en-US"/>
    </w:rPr>
  </w:style>
  <w:style w:type="character" w:customStyle="1" w:styleId="29">
    <w:name w:val="页眉 字符"/>
    <w:qFormat/>
    <w:locked/>
    <w:uiPriority w:val="99"/>
    <w:rPr>
      <w:rFonts w:ascii="Times New Roman" w:hAnsi="Times New Roman" w:eastAsia="宋体" w:cs="Times New Roman"/>
      <w:sz w:val="24"/>
      <w:szCs w:val="24"/>
    </w:rPr>
  </w:style>
  <w:style w:type="character" w:customStyle="1" w:styleId="30">
    <w:name w:val="标题 字符"/>
    <w:qFormat/>
    <w:locked/>
    <w:uiPriority w:val="99"/>
    <w:rPr>
      <w:rFonts w:ascii="Cambria" w:hAnsi="Cambria" w:eastAsia="宋体" w:cs="Times New Roman"/>
      <w:b/>
      <w:bCs/>
      <w:sz w:val="32"/>
      <w:szCs w:val="32"/>
    </w:rPr>
  </w:style>
  <w:style w:type="character" w:customStyle="1" w:styleId="31">
    <w:name w:val="标题 1 字符"/>
    <w:qFormat/>
    <w:locked/>
    <w:uiPriority w:val="99"/>
    <w:rPr>
      <w:rFonts w:cs="Times New Roman"/>
      <w:b/>
      <w:bCs/>
      <w:kern w:val="44"/>
      <w:sz w:val="44"/>
      <w:szCs w:val="44"/>
    </w:rPr>
  </w:style>
  <w:style w:type="character" w:customStyle="1" w:styleId="32">
    <w:name w:val="正文文本 Char1"/>
    <w:link w:val="4"/>
    <w:qFormat/>
    <w:locked/>
    <w:uiPriority w:val="99"/>
    <w:rPr>
      <w:rFonts w:ascii="Calibri" w:hAnsi="Calibri" w:eastAsia="宋体" w:cs="Times New Roman"/>
      <w:kern w:val="2"/>
      <w:sz w:val="22"/>
      <w:szCs w:val="22"/>
    </w:rPr>
  </w:style>
  <w:style w:type="character" w:customStyle="1" w:styleId="33">
    <w:name w:val="正文文本缩进 字符"/>
    <w:qFormat/>
    <w:locked/>
    <w:uiPriority w:val="99"/>
    <w:rPr>
      <w:rFonts w:cs="Times New Roman"/>
    </w:rPr>
  </w:style>
  <w:style w:type="character" w:customStyle="1" w:styleId="34">
    <w:name w:val="页脚 字符"/>
    <w:qFormat/>
    <w:locked/>
    <w:uiPriority w:val="99"/>
    <w:rPr>
      <w:rFonts w:ascii="Calibri" w:hAnsi="Calibri" w:eastAsia="宋体" w:cs="Times New Roman"/>
      <w:kern w:val="0"/>
      <w:sz w:val="18"/>
      <w:szCs w:val="18"/>
    </w:rPr>
  </w:style>
  <w:style w:type="character" w:customStyle="1" w:styleId="35">
    <w:name w:val="正文首行缩进 2 Char1"/>
    <w:link w:val="13"/>
    <w:qFormat/>
    <w:locked/>
    <w:uiPriority w:val="99"/>
    <w:rPr>
      <w:rFonts w:ascii="Times New Roman" w:hAnsi="Calibri" w:eastAsia="宋体" w:cs="Times New Roman"/>
      <w:sz w:val="24"/>
      <w:szCs w:val="24"/>
    </w:rPr>
  </w:style>
  <w:style w:type="paragraph" w:customStyle="1" w:styleId="36">
    <w:name w:val="列出段落1"/>
    <w:basedOn w:val="1"/>
    <w:qFormat/>
    <w:uiPriority w:val="99"/>
    <w:pPr>
      <w:ind w:firstLine="420" w:firstLineChars="200"/>
    </w:pPr>
    <w:rPr>
      <w:rFonts w:ascii="Calibri" w:hAnsi="Calibri" w:eastAsia="宋体" w:cs="Times New Roman"/>
      <w:szCs w:val="22"/>
    </w:rPr>
  </w:style>
  <w:style w:type="character" w:customStyle="1" w:styleId="37">
    <w:name w:val="正文首行缩进 2 Char"/>
    <w:basedOn w:val="25"/>
    <w:link w:val="13"/>
    <w:qFormat/>
    <w:uiPriority w:val="0"/>
  </w:style>
  <w:style w:type="character" w:customStyle="1" w:styleId="38">
    <w:name w:val="正文文本 Char"/>
    <w:basedOn w:val="15"/>
    <w:link w:val="4"/>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D5CB2C-DB61-4AE2-9705-0F02BC236624}">
  <ds:schemaRefs/>
</ds:datastoreItem>
</file>

<file path=docProps/app.xml><?xml version="1.0" encoding="utf-8"?>
<Properties xmlns="http://schemas.openxmlformats.org/officeDocument/2006/extended-properties" xmlns:vt="http://schemas.openxmlformats.org/officeDocument/2006/docPropsVTypes">
  <Template>Normal</Template>
  <Company>cw</Company>
  <Pages>63</Pages>
  <Words>18054</Words>
  <Characters>4937</Characters>
  <Lines>41</Lines>
  <Paragraphs>45</Paragraphs>
  <TotalTime>3</TotalTime>
  <ScaleCrop>false</ScaleCrop>
  <LinksUpToDate>false</LinksUpToDate>
  <CharactersWithSpaces>22946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2020-09-16T08:27:00Z</dcterms:created>
  <dc:creator>马瑶瑶</dc:creator>
  <cp:lastModifiedBy>我的文档</cp:lastModifiedBy>
  <dcterms:modified xsi:type="dcterms:W3CDTF">2021-02-19T06:46:31Z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