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b/>
          <w:sz w:val="72"/>
          <w:szCs w:val="72"/>
        </w:rPr>
      </w:pPr>
      <w:r>
        <w:rPr>
          <w:rFonts w:hint="eastAsia" w:ascii="黑体" w:hAnsi="宋体" w:eastAsia="黑体"/>
          <w:color w:val="002060"/>
          <w:sz w:val="72"/>
          <w:szCs w:val="72"/>
        </w:rPr>
        <w:drawing>
          <wp:anchor distT="0" distB="0" distL="0" distR="0" simplePos="0" relativeHeight="251659264" behindDoc="1" locked="0" layoutInCell="1" allowOverlap="1">
            <wp:simplePos x="0" y="0"/>
            <wp:positionH relativeFrom="column">
              <wp:posOffset>-1000125</wp:posOffset>
            </wp:positionH>
            <wp:positionV relativeFrom="paragraph">
              <wp:posOffset>-1355090</wp:posOffset>
            </wp:positionV>
            <wp:extent cx="7576820" cy="10796905"/>
            <wp:effectExtent l="0" t="0" r="5080" b="4445"/>
            <wp:wrapNone/>
            <wp:docPr id="1026" name="图片 7"/>
            <wp:cNvGraphicFramePr/>
            <a:graphic xmlns:a="http://schemas.openxmlformats.org/drawingml/2006/main">
              <a:graphicData uri="http://schemas.openxmlformats.org/drawingml/2006/picture">
                <pic:pic xmlns:pic="http://schemas.openxmlformats.org/drawingml/2006/picture">
                  <pic:nvPicPr>
                    <pic:cNvPr id="1026" name="图片 7"/>
                    <pic:cNvPicPr/>
                  </pic:nvPicPr>
                  <pic:blipFill>
                    <a:blip r:embed="rId11" cstate="print"/>
                    <a:srcRect/>
                    <a:stretch>
                      <a:fillRect/>
                    </a:stretch>
                  </pic:blipFill>
                  <pic:spPr>
                    <a:xfrm>
                      <a:off x="0" y="0"/>
                      <a:ext cx="7576820" cy="10796905"/>
                    </a:xfrm>
                    <a:prstGeom prst="rect">
                      <a:avLst/>
                    </a:prstGeom>
                  </pic:spPr>
                </pic:pic>
              </a:graphicData>
            </a:graphic>
          </wp:anchor>
        </w:drawing>
      </w:r>
    </w:p>
    <w:p>
      <w:pPr>
        <w:widowControl/>
        <w:jc w:val="center"/>
        <w:rPr>
          <w:rFonts w:ascii="黑体" w:hAnsi="宋体" w:eastAsia="黑体"/>
          <w:color w:val="002060"/>
          <w:sz w:val="72"/>
          <w:szCs w:val="72"/>
        </w:rPr>
      </w:pPr>
      <w:r>
        <w:rPr>
          <w:sz w:val="72"/>
        </w:rPr>
        <mc:AlternateContent>
          <mc:Choice Requires="wps">
            <w:drawing>
              <wp:anchor distT="0" distB="0" distL="114300" distR="114300" simplePos="0" relativeHeight="251665408" behindDoc="0" locked="0" layoutInCell="1" allowOverlap="1">
                <wp:simplePos x="0" y="0"/>
                <wp:positionH relativeFrom="column">
                  <wp:posOffset>-1055370</wp:posOffset>
                </wp:positionH>
                <wp:positionV relativeFrom="paragraph">
                  <wp:posOffset>549275</wp:posOffset>
                </wp:positionV>
                <wp:extent cx="7571740" cy="2111375"/>
                <wp:effectExtent l="635" t="0" r="0" b="0"/>
                <wp:wrapNone/>
                <wp:docPr id="1032" name="1027"/>
                <wp:cNvGraphicFramePr/>
                <a:graphic xmlns:a="http://schemas.openxmlformats.org/drawingml/2006/main">
                  <a:graphicData uri="http://schemas.microsoft.com/office/word/2010/wordprocessingShape">
                    <wps:wsp>
                      <wps:cNvSpPr>
                        <a:spLocks noChangeArrowheads="1"/>
                      </wps:cNvSpPr>
                      <wps:spPr bwMode="auto">
                        <a:xfrm>
                          <a:off x="0" y="0"/>
                          <a:ext cx="7571740" cy="2111375"/>
                        </a:xfrm>
                        <a:prstGeom prst="rect">
                          <a:avLst/>
                        </a:prstGeom>
                        <a:noFill/>
                        <a:ln>
                          <a:noFill/>
                        </a:ln>
                      </wps:spPr>
                      <wps:txbx>
                        <w:txbxContent>
                          <w:p>
                            <w:pPr>
                              <w:widowControl/>
                              <w:spacing w:line="1200" w:lineRule="exact"/>
                              <w:jc w:val="center"/>
                              <w:rPr>
                                <w:rFonts w:ascii="黑体" w:hAnsi="宋体" w:eastAsia="黑体"/>
                                <w:color w:val="FDEFBE"/>
                                <w:sz w:val="96"/>
                                <w:szCs w:val="96"/>
                              </w:rPr>
                            </w:pPr>
                            <w:r>
                              <w:rPr>
                                <w:rFonts w:hint="eastAsia" w:ascii="黑体" w:hAnsi="宋体" w:eastAsia="黑体"/>
                                <w:color w:val="FDEFBE"/>
                                <w:sz w:val="96"/>
                                <w:szCs w:val="96"/>
                              </w:rPr>
                              <w:t>唐山市</w:t>
                            </w:r>
                            <w:r>
                              <w:rPr>
                                <w:rFonts w:hint="eastAsia" w:ascii="黑体" w:hAnsi="宋体" w:eastAsia="黑体"/>
                                <w:color w:val="FDEFBE"/>
                                <w:sz w:val="96"/>
                                <w:szCs w:val="96"/>
                                <w:lang w:val="en-US" w:eastAsia="zh-CN"/>
                              </w:rPr>
                              <w:t>环境保护</w:t>
                            </w:r>
                            <w:r>
                              <w:rPr>
                                <w:rFonts w:hint="eastAsia" w:ascii="黑体" w:hAnsi="宋体" w:eastAsia="黑体"/>
                                <w:color w:val="FDEFBE"/>
                                <w:sz w:val="96"/>
                                <w:szCs w:val="96"/>
                              </w:rPr>
                              <w:t>局</w:t>
                            </w:r>
                          </w:p>
                          <w:p>
                            <w:pPr>
                              <w:widowControl/>
                              <w:spacing w:line="1200" w:lineRule="exact"/>
                              <w:jc w:val="center"/>
                              <w:rPr>
                                <w:color w:val="FDEFBE"/>
                                <w:sz w:val="96"/>
                                <w:szCs w:val="96"/>
                              </w:rPr>
                            </w:pPr>
                            <w:r>
                              <w:rPr>
                                <w:rFonts w:hint="eastAsia" w:ascii="黑体" w:hAnsi="宋体" w:eastAsia="黑体"/>
                                <w:color w:val="FDEFBE"/>
                                <w:sz w:val="96"/>
                                <w:szCs w:val="96"/>
                              </w:rPr>
                              <w:t>2018年度部门决算</w:t>
                            </w:r>
                          </w:p>
                          <w:p>
                            <w:pPr>
                              <w:rPr>
                                <w:color w:val="FDEFBE"/>
                                <w:sz w:val="96"/>
                                <w:szCs w:val="96"/>
                              </w:rPr>
                            </w:pPr>
                          </w:p>
                        </w:txbxContent>
                      </wps:txbx>
                      <wps:bodyPr rot="0" vert="horz" wrap="square" lIns="91440" tIns="45720" rIns="91440" bIns="45720" anchor="t" anchorCtr="0" upright="1">
                        <a:noAutofit/>
                      </wps:bodyPr>
                    </wps:wsp>
                  </a:graphicData>
                </a:graphic>
              </wp:anchor>
            </w:drawing>
          </mc:Choice>
          <mc:Fallback>
            <w:pict>
              <v:rect id="1027" o:spid="_x0000_s1026" o:spt="1" style="position:absolute;left:0pt;margin-left:-83.1pt;margin-top:43.25pt;height:166.25pt;width:596.2pt;z-index:251665408;mso-width-relative:page;mso-height-relative:page;" filled="f" stroked="f" coordsize="21600,21600" o:gfxdata="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pe3FdsAAAAMAQAADwAAAAAAAAABACAAAAAiAAAAZHJz&#10;L2Rvd25yZXYueG1sUEsBAhQAFAAAAAgAh07iQBIUScIBAgAACAQAAA4AAAAAAAAAAQAgAAAAKgEA&#10;AGRycy9lMm9Eb2MueG1sUEsFBgAAAAAGAAYAWQEAAJ0FAAAAAA==&#10;">
                <v:fill on="f" focussize="0,0"/>
                <v:stroke on="f"/>
                <v:imagedata o:title=""/>
                <o:lock v:ext="edit" aspectratio="f"/>
                <v:textbox>
                  <w:txbxContent>
                    <w:p>
                      <w:pPr>
                        <w:widowControl/>
                        <w:spacing w:line="1200" w:lineRule="exact"/>
                        <w:jc w:val="center"/>
                        <w:rPr>
                          <w:rFonts w:ascii="黑体" w:hAnsi="宋体" w:eastAsia="黑体"/>
                          <w:color w:val="FDEFBE"/>
                          <w:sz w:val="96"/>
                          <w:szCs w:val="96"/>
                        </w:rPr>
                      </w:pPr>
                      <w:r>
                        <w:rPr>
                          <w:rFonts w:hint="eastAsia" w:ascii="黑体" w:hAnsi="宋体" w:eastAsia="黑体"/>
                          <w:color w:val="FDEFBE"/>
                          <w:sz w:val="96"/>
                          <w:szCs w:val="96"/>
                        </w:rPr>
                        <w:t>唐山市</w:t>
                      </w:r>
                      <w:r>
                        <w:rPr>
                          <w:rFonts w:hint="eastAsia" w:ascii="黑体" w:hAnsi="宋体" w:eastAsia="黑体"/>
                          <w:color w:val="FDEFBE"/>
                          <w:sz w:val="96"/>
                          <w:szCs w:val="96"/>
                          <w:lang w:val="en-US" w:eastAsia="zh-CN"/>
                        </w:rPr>
                        <w:t>环境保护</w:t>
                      </w:r>
                      <w:r>
                        <w:rPr>
                          <w:rFonts w:hint="eastAsia" w:ascii="黑体" w:hAnsi="宋体" w:eastAsia="黑体"/>
                          <w:color w:val="FDEFBE"/>
                          <w:sz w:val="96"/>
                          <w:szCs w:val="96"/>
                        </w:rPr>
                        <w:t>局</w:t>
                      </w:r>
                    </w:p>
                    <w:p>
                      <w:pPr>
                        <w:widowControl/>
                        <w:spacing w:line="1200" w:lineRule="exact"/>
                        <w:jc w:val="center"/>
                        <w:rPr>
                          <w:color w:val="FDEFBE"/>
                          <w:sz w:val="96"/>
                          <w:szCs w:val="96"/>
                        </w:rPr>
                      </w:pPr>
                      <w:r>
                        <w:rPr>
                          <w:rFonts w:hint="eastAsia" w:ascii="黑体" w:hAnsi="宋体" w:eastAsia="黑体"/>
                          <w:color w:val="FDEFBE"/>
                          <w:sz w:val="96"/>
                          <w:szCs w:val="96"/>
                        </w:rPr>
                        <w:t>2018年度部门决算</w:t>
                      </w:r>
                    </w:p>
                    <w:p>
                      <w:pPr>
                        <w:rPr>
                          <w:color w:val="FDEFBE"/>
                          <w:sz w:val="96"/>
                          <w:szCs w:val="96"/>
                        </w:rPr>
                      </w:pPr>
                    </w:p>
                  </w:txbxContent>
                </v:textbox>
              </v:rect>
            </w:pict>
          </mc:Fallback>
        </mc:AlternateContent>
      </w: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楷体" w:hAnsi="楷体" w:eastAsia="楷体" w:cs="楷体"/>
          <w:b/>
          <w:sz w:val="44"/>
          <w:szCs w:val="44"/>
        </w:rPr>
        <w:sectPr>
          <w:headerReference r:id="rId5" w:type="default"/>
          <w:footerReference r:id="rId6" w:type="default"/>
          <w:pgSz w:w="11906" w:h="16838"/>
          <w:pgMar w:top="2098" w:right="1474" w:bottom="1985" w:left="1588" w:header="851" w:footer="992" w:gutter="0"/>
          <w:cols w:space="425" w:num="1"/>
          <w:docGrid w:type="lines" w:linePitch="312" w:charSpace="0"/>
        </w:sectPr>
      </w:pPr>
      <w:r>
        <w:rPr>
          <w:rFonts w:hint="eastAsia" w:ascii="楷体" w:hAnsi="楷体" w:eastAsia="楷体" w:cs="楷体"/>
          <w:b/>
          <w:sz w:val="44"/>
          <w:szCs w:val="44"/>
        </w:rPr>
        <w:t>二〇一九年八月</w:t>
      </w:r>
    </w:p>
    <w:p>
      <w:pPr>
        <w:widowControl/>
        <w:spacing w:after="0" w:line="240" w:lineRule="auto"/>
        <w:jc w:val="center"/>
        <w:rPr>
          <w:rFonts w:ascii="黑体" w:eastAsia="黑体"/>
          <w:sz w:val="48"/>
          <w:szCs w:val="48"/>
        </w:rPr>
      </w:pPr>
      <w:r>
        <w:rPr>
          <w:rFonts w:ascii="宋体" w:hAnsi="宋体" w:cs="宋体"/>
          <w:kern w:val="0"/>
          <w:sz w:val="24"/>
        </w:rPr>
        <mc:AlternateContent>
          <mc:Choice Requires="wpg">
            <w:drawing>
              <wp:anchor distT="0" distB="0" distL="114300" distR="114300" simplePos="0" relativeHeight="251670528" behindDoc="0" locked="1" layoutInCell="1" allowOverlap="1">
                <wp:simplePos x="0" y="0"/>
                <wp:positionH relativeFrom="column">
                  <wp:posOffset>-989330</wp:posOffset>
                </wp:positionH>
                <wp:positionV relativeFrom="page">
                  <wp:posOffset>393700</wp:posOffset>
                </wp:positionV>
                <wp:extent cx="3175635" cy="593090"/>
                <wp:effectExtent l="9525" t="3175" r="0" b="13335"/>
                <wp:wrapNone/>
                <wp:docPr id="1029" name="1028"/>
                <wp:cNvGraphicFramePr/>
                <a:graphic xmlns:a="http://schemas.openxmlformats.org/drawingml/2006/main">
                  <a:graphicData uri="http://schemas.microsoft.com/office/word/2010/wordprocessingGroup">
                    <wpg:wgp>
                      <wpg:cNvGrpSpPr/>
                      <wpg:grpSpPr>
                        <a:xfrm>
                          <a:off x="0" y="0"/>
                          <a:ext cx="3175635" cy="593090"/>
                          <a:chOff x="4551" y="52615"/>
                          <a:chExt cx="8546" cy="1398"/>
                        </a:xfrm>
                      </wpg:grpSpPr>
                      <wps:wsp>
                        <wps:cNvPr id="1030" name="1029"/>
                        <wps:cNvSpPr>
                          <a:spLocks noChangeArrowheads="1"/>
                        </wps:cNvSpPr>
                        <wps:spPr bwMode="auto">
                          <a:xfrm>
                            <a:off x="4551" y="52615"/>
                            <a:ext cx="8546" cy="1175"/>
                          </a:xfrm>
                          <a:prstGeom prst="rect">
                            <a:avLst/>
                          </a:prstGeom>
                          <a:solidFill>
                            <a:srgbClr val="D8D8D8"/>
                          </a:solidFill>
                          <a:ln>
                            <a:noFill/>
                          </a:ln>
                        </wps:spPr>
                        <wps:bodyPr rot="0" vert="horz" wrap="square" lIns="91440" tIns="45720" rIns="91440" bIns="45720" anchor="t" anchorCtr="0" upright="1">
                          <a:noAutofit/>
                        </wps:bodyPr>
                      </wps:wsp>
                      <wps:wsp>
                        <wps:cNvPr id="1031" name="1030"/>
                        <wps:cNvSpPr>
                          <a:spLocks noChangeArrowheads="1"/>
                        </wps:cNvSpPr>
                        <wps:spPr bwMode="auto">
                          <a:xfrm>
                            <a:off x="4577" y="52890"/>
                            <a:ext cx="8324" cy="1123"/>
                          </a:xfrm>
                          <a:prstGeom prst="rect">
                            <a:avLst/>
                          </a:prstGeom>
                          <a:solidFill>
                            <a:srgbClr val="AD002D"/>
                          </a:solidFill>
                          <a:ln w="25400">
                            <a:solidFill>
                              <a:srgbClr val="AF7621"/>
                            </a:solidFill>
                            <a:miter lim="800000"/>
                          </a:ln>
                        </wps:spPr>
                        <wps:txbx>
                          <w:txbxContent>
                            <w:p>
                              <w:pPr>
                                <w:widowControl/>
                                <w:jc w:val="left"/>
                                <w:rPr>
                                  <w:rFonts w:ascii="楷体" w:hAnsi="楷体" w:eastAsia="楷体" w:cs="楷体"/>
                                  <w:b/>
                                  <w:bCs/>
                                  <w:color w:val="FDEFBE"/>
                                  <w:kern w:val="0"/>
                                  <w:sz w:val="36"/>
                                  <w:szCs w:val="36"/>
                                </w:rPr>
                              </w:pPr>
                              <w:r>
                                <w:rPr>
                                  <w:rFonts w:hint="eastAsia" w:ascii="楷体" w:hAnsi="楷体" w:eastAsia="楷体" w:cs="楷体"/>
                                  <w:b/>
                                  <w:bCs/>
                                  <w:color w:val="FDEFBE"/>
                                  <w:kern w:val="0"/>
                                  <w:sz w:val="36"/>
                                  <w:szCs w:val="36"/>
                                </w:rPr>
                                <w:t>2018年度部门决算</w:t>
                              </w:r>
                              <w:r>
                                <w:rPr>
                                  <w:rFonts w:ascii="Segoe UI Symbol" w:hAnsi="Segoe UI Symbol" w:eastAsia="楷体" w:cs="Segoe UI Symbol"/>
                                  <w:b/>
                                  <w:bCs/>
                                  <w:color w:val="FDEFBE"/>
                                  <w:kern w:val="0"/>
                                  <w:sz w:val="36"/>
                                  <w:szCs w:val="36"/>
                                </w:rPr>
                                <w:t>☞</w:t>
                              </w:r>
                              <w:r>
                                <w:rPr>
                                  <w:rFonts w:hint="eastAsia" w:ascii="楷体" w:hAnsi="楷体" w:eastAsia="楷体" w:cs="楷体"/>
                                  <w:b/>
                                  <w:bCs/>
                                  <w:color w:val="FDEFBE"/>
                                  <w:kern w:val="0"/>
                                  <w:sz w:val="36"/>
                                  <w:szCs w:val="36"/>
                                </w:rPr>
                                <w:t>目 录</w:t>
                              </w:r>
                            </w:p>
                            <w:p>
                              <w:pPr>
                                <w:jc w:val="center"/>
                                <w:rPr>
                                  <w:rFonts w:asciiTheme="minorHAnsi" w:hAnsiTheme="minorHAnsi" w:eastAsiaTheme="minorEastAsia" w:cstheme="minorBidi"/>
                                  <w:szCs w:val="22"/>
                                </w:rPr>
                              </w:pPr>
                            </w:p>
                          </w:txbxContent>
                        </wps:txbx>
                        <wps:bodyPr rot="0" vert="horz" wrap="square" lIns="91440" tIns="45720" rIns="91440" bIns="45720" anchor="ctr" anchorCtr="0" upright="1">
                          <a:noAutofit/>
                        </wps:bodyPr>
                      </wps:wsp>
                    </wpg:wgp>
                  </a:graphicData>
                </a:graphic>
              </wp:anchor>
            </w:drawing>
          </mc:Choice>
          <mc:Fallback>
            <w:pict>
              <v:group id="1028" o:spid="_x0000_s1026" o:spt="203" style="position:absolute;left:0pt;margin-left:-77.9pt;margin-top:31pt;height:46.7pt;width:250.05pt;mso-position-vertical-relative:page;z-index:251670528;mso-width-relative:page;mso-height-relative:page;" coordorigin="4551,52615" coordsize="8546,1398" o:gfxdata="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">
                <o:lock v:ext="edit" aspectratio="f"/>
                <v:rect id="1029" o:spid="_x0000_s1026" o:spt="1" style="position:absolute;left:4551;top:52615;height:1175;width:8546;" fillcolor="#D8D8D8" filled="t" stroked="f" coordsize="21600,21600" o:gfxdata="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BINgy/&#10;AAAA3QAAAA8AAAAAAAAAAQAgAAAAIgAAAGRycy9kb3ducmV2LnhtbFBLAQIUABQAAAAIAIdO4kAz&#10;LwWeOwAAADkAAAAQAAAAAAAAAAEAIAAAAA4BAABkcnMvc2hhcGV4bWwueG1sUEsFBgAAAAAGAAYA&#10;WwEAALgDAAAAAA==&#10;">
                  <v:fill on="t" focussize="0,0"/>
                  <v:stroke on="f"/>
                  <v:imagedata o:title=""/>
                  <o:lock v:ext="edit" aspectratio="f"/>
                </v:rect>
                <v:rect id="1030" o:spid="_x0000_s1026" o:spt="1" style="position:absolute;left:4577;top:52890;height:1123;width:8324;v-text-anchor:middle;" fillcolor="#AD002D" filled="t" stroked="t" coordsize="21600,21600" o:gfxdata="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4PEz7sAAADd&#10;AAAADwAAAAAAAAABACAAAAAiAAAAZHJzL2Rvd25yZXYueG1sUEsBAhQAFAAAAAgAh07iQDMvBZ47&#10;AAAAOQAAABAAAAAAAAAAAQAgAAAACgEAAGRycy9zaGFwZXhtbC54bWxQSwUGAAAAAAYABgBbAQAA&#10;tAMAAAAA&#10;">
                  <v:fill on="t" focussize="0,0"/>
                  <v:stroke weight="2pt" color="#AF7621" miterlimit="8" joinstyle="miter"/>
                  <v:imagedata o:title=""/>
                  <o:lock v:ext="edit" aspectratio="f"/>
                  <v:textbox>
                    <w:txbxContent>
                      <w:p>
                        <w:pPr>
                          <w:widowControl/>
                          <w:jc w:val="left"/>
                          <w:rPr>
                            <w:rFonts w:ascii="楷体" w:hAnsi="楷体" w:eastAsia="楷体" w:cs="楷体"/>
                            <w:b/>
                            <w:bCs/>
                            <w:color w:val="FDEFBE"/>
                            <w:kern w:val="0"/>
                            <w:sz w:val="36"/>
                            <w:szCs w:val="36"/>
                          </w:rPr>
                        </w:pPr>
                        <w:r>
                          <w:rPr>
                            <w:rFonts w:hint="eastAsia" w:ascii="楷体" w:hAnsi="楷体" w:eastAsia="楷体" w:cs="楷体"/>
                            <w:b/>
                            <w:bCs/>
                            <w:color w:val="FDEFBE"/>
                            <w:kern w:val="0"/>
                            <w:sz w:val="36"/>
                            <w:szCs w:val="36"/>
                          </w:rPr>
                          <w:t>2018年度部门决算</w:t>
                        </w:r>
                        <w:r>
                          <w:rPr>
                            <w:rFonts w:ascii="Segoe UI Symbol" w:hAnsi="Segoe UI Symbol" w:eastAsia="楷体" w:cs="Segoe UI Symbol"/>
                            <w:b/>
                            <w:bCs/>
                            <w:color w:val="FDEFBE"/>
                            <w:kern w:val="0"/>
                            <w:sz w:val="36"/>
                            <w:szCs w:val="36"/>
                          </w:rPr>
                          <w:t>☞</w:t>
                        </w:r>
                        <w:r>
                          <w:rPr>
                            <w:rFonts w:hint="eastAsia" w:ascii="楷体" w:hAnsi="楷体" w:eastAsia="楷体" w:cs="楷体"/>
                            <w:b/>
                            <w:bCs/>
                            <w:color w:val="FDEFBE"/>
                            <w:kern w:val="0"/>
                            <w:sz w:val="36"/>
                            <w:szCs w:val="36"/>
                          </w:rPr>
                          <w:t>目 录</w:t>
                        </w:r>
                      </w:p>
                      <w:p>
                        <w:pPr>
                          <w:jc w:val="center"/>
                          <w:rPr>
                            <w:rFonts w:asciiTheme="minorHAnsi" w:hAnsiTheme="minorHAnsi" w:eastAsiaTheme="minorEastAsia" w:cstheme="minorBidi"/>
                            <w:szCs w:val="22"/>
                          </w:rPr>
                        </w:pPr>
                      </w:p>
                    </w:txbxContent>
                  </v:textbox>
                </v:rect>
                <w10:anchorlock/>
              </v:group>
            </w:pict>
          </mc:Fallback>
        </mc:AlternateContent>
      </w:r>
      <w:r>
        <w:rPr>
          <w:rFonts w:hint="eastAsia" w:ascii="黑体" w:eastAsia="黑体"/>
          <w:sz w:val="48"/>
          <w:szCs w:val="48"/>
        </w:rPr>
        <w:t>目    录</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仿宋_GB2312"/>
          <w:sz w:val="24"/>
          <w:szCs w:val="32"/>
        </w:rPr>
      </w:pPr>
      <w:r>
        <w:rPr>
          <w:rFonts w:eastAsia="黑体"/>
          <w:sz w:val="32"/>
          <w:szCs w:val="32"/>
        </w:rPr>
        <w:t>第一部分  部门概况</w:t>
      </w:r>
    </w:p>
    <w:p>
      <w:pPr>
        <w:widowControl/>
        <w:spacing w:line="580" w:lineRule="exact"/>
        <w:ind w:firstLine="1273" w:firstLineChars="398"/>
        <w:rPr>
          <w:rFonts w:eastAsia="仿宋_GB2312"/>
          <w:sz w:val="32"/>
          <w:szCs w:val="32"/>
        </w:rPr>
      </w:pPr>
      <w:r>
        <w:rPr>
          <w:rFonts w:eastAsia="仿宋_GB2312"/>
          <w:sz w:val="32"/>
          <w:szCs w:val="32"/>
        </w:rPr>
        <w:t>一、部门</w:t>
      </w:r>
      <w:r>
        <w:rPr>
          <w:rFonts w:hint="eastAsia" w:eastAsia="仿宋_GB2312"/>
          <w:sz w:val="32"/>
          <w:szCs w:val="32"/>
        </w:rPr>
        <w:t>职责</w:t>
      </w:r>
    </w:p>
    <w:p>
      <w:pPr>
        <w:widowControl/>
        <w:spacing w:line="580" w:lineRule="exact"/>
        <w:ind w:firstLine="1273" w:firstLineChars="398"/>
        <w:rPr>
          <w:rFonts w:eastAsia="仿宋_GB2312"/>
          <w:sz w:val="32"/>
          <w:szCs w:val="32"/>
        </w:rPr>
      </w:pPr>
      <w:r>
        <w:rPr>
          <w:rFonts w:eastAsia="仿宋_GB2312"/>
          <w:sz w:val="32"/>
          <w:szCs w:val="32"/>
        </w:rPr>
        <w:t>二、</w:t>
      </w:r>
      <w:r>
        <w:rPr>
          <w:rFonts w:hint="eastAsia" w:eastAsia="仿宋_GB2312"/>
          <w:sz w:val="32"/>
          <w:szCs w:val="32"/>
        </w:rPr>
        <w:t>机构设置</w:t>
      </w:r>
    </w:p>
    <w:p>
      <w:pPr>
        <w:widowControl/>
        <w:spacing w:line="580" w:lineRule="exact"/>
        <w:ind w:firstLine="640" w:firstLineChars="200"/>
        <w:rPr>
          <w:rFonts w:eastAsia="仿宋_GB2312"/>
          <w:sz w:val="20"/>
          <w:szCs w:val="32"/>
        </w:rPr>
      </w:pPr>
      <w:r>
        <w:rPr>
          <w:rFonts w:eastAsia="黑体"/>
          <w:sz w:val="32"/>
          <w:szCs w:val="32"/>
        </w:rPr>
        <w:t>第二部分  201</w:t>
      </w:r>
      <w:r>
        <w:rPr>
          <w:rFonts w:hint="eastAsia" w:eastAsia="黑体"/>
          <w:sz w:val="32"/>
          <w:szCs w:val="32"/>
        </w:rPr>
        <w:t>8</w:t>
      </w:r>
      <w:r>
        <w:rPr>
          <w:rFonts w:eastAsia="黑体"/>
          <w:sz w:val="32"/>
          <w:szCs w:val="32"/>
        </w:rPr>
        <w:t>年度部门决算报表</w:t>
      </w:r>
    </w:p>
    <w:p>
      <w:pPr>
        <w:widowControl/>
        <w:spacing w:line="580" w:lineRule="exact"/>
        <w:ind w:left="640" w:firstLine="640" w:firstLineChars="200"/>
        <w:rPr>
          <w:rFonts w:eastAsia="仿宋_GB2312"/>
          <w:sz w:val="32"/>
          <w:szCs w:val="32"/>
        </w:rPr>
      </w:pPr>
      <w:r>
        <w:rPr>
          <w:rFonts w:eastAsia="仿宋_GB2312"/>
          <w:sz w:val="32"/>
          <w:szCs w:val="32"/>
        </w:rPr>
        <w:t>一、收入支出决算总表</w:t>
      </w:r>
    </w:p>
    <w:p>
      <w:pPr>
        <w:widowControl/>
        <w:spacing w:line="580" w:lineRule="exact"/>
        <w:ind w:left="640" w:firstLine="640" w:firstLineChars="200"/>
        <w:rPr>
          <w:rFonts w:eastAsia="仿宋_GB2312"/>
          <w:sz w:val="32"/>
          <w:szCs w:val="32"/>
        </w:rPr>
      </w:pPr>
      <w:r>
        <w:rPr>
          <w:rFonts w:eastAsia="仿宋_GB2312"/>
          <w:sz w:val="32"/>
          <w:szCs w:val="32"/>
        </w:rPr>
        <w:t>二、收入决算表</w:t>
      </w:r>
    </w:p>
    <w:p>
      <w:pPr>
        <w:widowControl/>
        <w:spacing w:line="580" w:lineRule="exact"/>
        <w:ind w:left="640" w:firstLine="640" w:firstLineChars="200"/>
        <w:rPr>
          <w:rFonts w:eastAsia="仿宋_GB2312"/>
          <w:sz w:val="32"/>
          <w:szCs w:val="32"/>
        </w:rPr>
      </w:pPr>
      <w:r>
        <w:rPr>
          <w:rFonts w:eastAsia="仿宋_GB2312"/>
          <w:sz w:val="32"/>
          <w:szCs w:val="32"/>
        </w:rPr>
        <w:t>三、支出决算表</w:t>
      </w:r>
    </w:p>
    <w:p>
      <w:pPr>
        <w:widowControl/>
        <w:spacing w:line="580" w:lineRule="exact"/>
        <w:ind w:left="640" w:firstLine="640" w:firstLineChars="200"/>
        <w:rPr>
          <w:rFonts w:eastAsia="仿宋_GB2312"/>
          <w:sz w:val="32"/>
          <w:szCs w:val="32"/>
        </w:rPr>
      </w:pPr>
      <w:r>
        <w:rPr>
          <w:rFonts w:eastAsia="仿宋_GB2312"/>
          <w:sz w:val="32"/>
          <w:szCs w:val="32"/>
        </w:rPr>
        <w:t>四、财政拨款收入支出决算总表</w:t>
      </w:r>
    </w:p>
    <w:p>
      <w:pPr>
        <w:widowControl/>
        <w:spacing w:line="580" w:lineRule="exact"/>
        <w:ind w:left="640" w:firstLine="640" w:firstLineChars="200"/>
        <w:rPr>
          <w:rFonts w:eastAsia="仿宋_GB2312"/>
          <w:sz w:val="32"/>
          <w:szCs w:val="32"/>
        </w:rPr>
      </w:pPr>
      <w:r>
        <w:rPr>
          <w:rFonts w:eastAsia="仿宋_GB2312"/>
          <w:sz w:val="32"/>
          <w:szCs w:val="32"/>
        </w:rPr>
        <w:t>五、一般公共预算财政拨款支出决算表</w:t>
      </w:r>
    </w:p>
    <w:p>
      <w:pPr>
        <w:widowControl/>
        <w:spacing w:line="580" w:lineRule="exact"/>
        <w:ind w:left="640" w:firstLine="640" w:firstLineChars="200"/>
        <w:rPr>
          <w:rFonts w:eastAsia="仿宋_GB2312"/>
          <w:sz w:val="32"/>
          <w:szCs w:val="32"/>
        </w:rPr>
      </w:pPr>
      <w:r>
        <w:rPr>
          <w:rFonts w:eastAsia="仿宋_GB2312"/>
          <w:sz w:val="32"/>
          <w:szCs w:val="32"/>
        </w:rPr>
        <w:t>六、一般公共预算财政拨款基本支出决算表</w:t>
      </w:r>
    </w:p>
    <w:p>
      <w:pPr>
        <w:widowControl/>
        <w:spacing w:line="580" w:lineRule="exact"/>
        <w:ind w:left="640" w:firstLine="640" w:firstLineChars="200"/>
        <w:rPr>
          <w:rFonts w:eastAsia="仿宋_GB2312"/>
          <w:sz w:val="32"/>
          <w:szCs w:val="32"/>
        </w:rPr>
      </w:pPr>
      <w:r>
        <w:rPr>
          <w:rFonts w:eastAsia="仿宋_GB2312"/>
          <w:sz w:val="32"/>
          <w:szCs w:val="32"/>
        </w:rPr>
        <w:t>七、</w:t>
      </w:r>
      <w:r>
        <w:rPr>
          <w:rFonts w:hint="eastAsia" w:eastAsia="仿宋_GB2312"/>
          <w:sz w:val="32"/>
          <w:szCs w:val="32"/>
        </w:rPr>
        <w:t>一般公共预算财政拨款</w:t>
      </w:r>
      <w:r>
        <w:rPr>
          <w:rFonts w:eastAsia="仿宋_GB2312"/>
          <w:sz w:val="32"/>
          <w:szCs w:val="32"/>
        </w:rPr>
        <w:t>“三公”经费</w:t>
      </w:r>
      <w:r>
        <w:rPr>
          <w:rFonts w:hint="eastAsia" w:eastAsia="仿宋_GB2312"/>
          <w:sz w:val="32"/>
          <w:szCs w:val="32"/>
        </w:rPr>
        <w:t>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八、</w:t>
      </w:r>
      <w:r>
        <w:rPr>
          <w:rFonts w:eastAsia="仿宋_GB2312"/>
          <w:sz w:val="32"/>
          <w:szCs w:val="32"/>
        </w:rPr>
        <w:t>政府性基金预算财政拨款收入支出决算表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九</w:t>
      </w:r>
      <w:r>
        <w:rPr>
          <w:rFonts w:eastAsia="仿宋_GB2312"/>
          <w:sz w:val="32"/>
          <w:szCs w:val="32"/>
        </w:rPr>
        <w:t>、国有资本经营预算</w:t>
      </w:r>
      <w:r>
        <w:rPr>
          <w:rFonts w:hint="eastAsia" w:eastAsia="仿宋_GB2312"/>
          <w:sz w:val="32"/>
          <w:szCs w:val="32"/>
          <w:lang w:val="en-US" w:eastAsia="zh-CN"/>
        </w:rPr>
        <w:t>财政拨款</w:t>
      </w:r>
      <w:r>
        <w:rPr>
          <w:rFonts w:eastAsia="仿宋_GB2312"/>
          <w:sz w:val="32"/>
          <w:szCs w:val="32"/>
        </w:rPr>
        <w:t>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十</w:t>
      </w:r>
      <w:r>
        <w:rPr>
          <w:rFonts w:eastAsia="仿宋_GB2312"/>
          <w:sz w:val="32"/>
          <w:szCs w:val="32"/>
        </w:rPr>
        <w:t>、政府采购情况表</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r>
        <w:rPr>
          <w:rFonts w:eastAsia="黑体"/>
          <w:sz w:val="32"/>
          <w:szCs w:val="32"/>
        </w:rPr>
        <mc:AlternateContent>
          <mc:Choice Requires="wpg">
            <w:drawing>
              <wp:anchor distT="0" distB="0" distL="114300" distR="114300" simplePos="0" relativeHeight="251682816" behindDoc="0" locked="1" layoutInCell="1" allowOverlap="1">
                <wp:simplePos x="0" y="0"/>
                <wp:positionH relativeFrom="column">
                  <wp:posOffset>-1004570</wp:posOffset>
                </wp:positionH>
                <wp:positionV relativeFrom="page">
                  <wp:posOffset>561340</wp:posOffset>
                </wp:positionV>
                <wp:extent cx="3175635" cy="593090"/>
                <wp:effectExtent l="3810" t="0" r="1905" b="17145"/>
                <wp:wrapNone/>
                <wp:docPr id="1025" name="Group 146"/>
                <wp:cNvGraphicFramePr/>
                <a:graphic xmlns:a="http://schemas.openxmlformats.org/drawingml/2006/main">
                  <a:graphicData uri="http://schemas.microsoft.com/office/word/2010/wordprocessingGroup">
                    <wpg:wgp>
                      <wpg:cNvGrpSpPr/>
                      <wpg:grpSpPr>
                        <a:xfrm>
                          <a:off x="0" y="0"/>
                          <a:ext cx="3175635" cy="593090"/>
                          <a:chOff x="4551" y="52615"/>
                          <a:chExt cx="8546" cy="1398"/>
                        </a:xfrm>
                      </wpg:grpSpPr>
                      <wps:wsp>
                        <wps:cNvPr id="1027" name="1029"/>
                        <wps:cNvSpPr>
                          <a:spLocks noChangeArrowheads="1"/>
                        </wps:cNvSpPr>
                        <wps:spPr bwMode="auto">
                          <a:xfrm>
                            <a:off x="4551" y="52615"/>
                            <a:ext cx="8546" cy="1175"/>
                          </a:xfrm>
                          <a:prstGeom prst="rect">
                            <a:avLst/>
                          </a:prstGeom>
                          <a:solidFill>
                            <a:srgbClr val="D8D8D8"/>
                          </a:solidFill>
                          <a:ln>
                            <a:noFill/>
                          </a:ln>
                        </wps:spPr>
                        <wps:bodyPr rot="0" vert="horz" wrap="square" lIns="91440" tIns="45720" rIns="91440" bIns="45720" anchor="t" anchorCtr="0" upright="1">
                          <a:noAutofit/>
                        </wps:bodyPr>
                      </wps:wsp>
                      <wps:wsp>
                        <wps:cNvPr id="1028" name="1030"/>
                        <wps:cNvSpPr>
                          <a:spLocks noChangeArrowheads="1"/>
                        </wps:cNvSpPr>
                        <wps:spPr bwMode="auto">
                          <a:xfrm>
                            <a:off x="4577" y="52890"/>
                            <a:ext cx="8324" cy="1123"/>
                          </a:xfrm>
                          <a:prstGeom prst="rect">
                            <a:avLst/>
                          </a:prstGeom>
                          <a:solidFill>
                            <a:srgbClr val="AD002D"/>
                          </a:solidFill>
                          <a:ln w="25400">
                            <a:solidFill>
                              <a:srgbClr val="AF7621"/>
                            </a:solidFill>
                            <a:miter lim="800000"/>
                          </a:ln>
                        </wps:spPr>
                        <wps:txbx>
                          <w:txbxContent>
                            <w:p>
                              <w:pPr>
                                <w:widowControl/>
                                <w:jc w:val="left"/>
                                <w:rPr>
                                  <w:rFonts w:ascii="楷体" w:hAnsi="楷体" w:eastAsia="楷体" w:cs="楷体"/>
                                  <w:b/>
                                  <w:bCs/>
                                  <w:color w:val="FDEFBE"/>
                                  <w:kern w:val="0"/>
                                  <w:sz w:val="36"/>
                                  <w:szCs w:val="36"/>
                                </w:rPr>
                              </w:pPr>
                              <w:r>
                                <w:rPr>
                                  <w:rFonts w:hint="eastAsia" w:ascii="楷体" w:hAnsi="楷体" w:eastAsia="楷体" w:cs="楷体"/>
                                  <w:b/>
                                  <w:bCs/>
                                  <w:color w:val="FDEFBE"/>
                                  <w:kern w:val="0"/>
                                  <w:sz w:val="36"/>
                                  <w:szCs w:val="36"/>
                                </w:rPr>
                                <w:t>2018年度部门决算</w:t>
                              </w:r>
                              <w:r>
                                <w:rPr>
                                  <w:rFonts w:ascii="Segoe UI Symbol" w:hAnsi="Segoe UI Symbol" w:eastAsia="楷体" w:cs="Segoe UI Symbol"/>
                                  <w:b/>
                                  <w:bCs/>
                                  <w:color w:val="FDEFBE"/>
                                  <w:kern w:val="0"/>
                                  <w:sz w:val="36"/>
                                  <w:szCs w:val="36"/>
                                </w:rPr>
                                <w:t>☞</w:t>
                              </w:r>
                              <w:r>
                                <w:rPr>
                                  <w:rFonts w:hint="eastAsia" w:ascii="楷体" w:hAnsi="楷体" w:eastAsia="楷体" w:cs="楷体"/>
                                  <w:b/>
                                  <w:bCs/>
                                  <w:color w:val="FDEFBE"/>
                                  <w:kern w:val="0"/>
                                  <w:sz w:val="36"/>
                                  <w:szCs w:val="36"/>
                                </w:rPr>
                                <w:t>目 录</w:t>
                              </w:r>
                            </w:p>
                            <w:p>
                              <w:pPr>
                                <w:jc w:val="center"/>
                                <w:rPr>
                                  <w:rFonts w:asciiTheme="minorHAnsi" w:hAnsiTheme="minorHAnsi" w:eastAsiaTheme="minorEastAsia" w:cstheme="minorBidi"/>
                                  <w:szCs w:val="22"/>
                                </w:rPr>
                              </w:pPr>
                            </w:p>
                          </w:txbxContent>
                        </wps:txbx>
                        <wps:bodyPr rot="0" vert="horz" wrap="square" lIns="91440" tIns="45720" rIns="91440" bIns="45720" anchor="ctr" anchorCtr="0" upright="1">
                          <a:noAutofit/>
                        </wps:bodyPr>
                      </wps:wsp>
                    </wpg:wgp>
                  </a:graphicData>
                </a:graphic>
              </wp:anchor>
            </w:drawing>
          </mc:Choice>
          <mc:Fallback>
            <w:pict>
              <v:group id="Group 146" o:spid="_x0000_s1026" o:spt="203" style="position:absolute;left:0pt;margin-left:-79.1pt;margin-top:44.2pt;height:46.7pt;width:250.05pt;mso-position-vertical-relative:page;z-index:251682816;mso-width-relative:page;mso-height-relative:page;" coordorigin="4551,52615" coordsize="8546,1398" o:gfxdata="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">
                <o:lock v:ext="edit" aspectratio="f"/>
                <v:rect id="1029" o:spid="_x0000_s1026" o:spt="1" style="position:absolute;left:4551;top:52615;height:1175;width:8546;" fillcolor="#D8D8D8" filled="t" stroked="f" coordsize="21600,21600" o:gfxdata="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eDilvQAA&#10;AN0AAAAPAAAAAAAAAAEAIAAAACIAAABkcnMvZG93bnJldi54bWxQSwECFAAUAAAACACHTuJAMy8F&#10;njsAAAA5AAAAEAAAAAAAAAABACAAAAAMAQAAZHJzL3NoYXBleG1sLnhtbFBLBQYAAAAABgAGAFsB&#10;AAC2AwAAAAA=&#10;">
                  <v:fill on="t" focussize="0,0"/>
                  <v:stroke on="f"/>
                  <v:imagedata o:title=""/>
                  <o:lock v:ext="edit" aspectratio="f"/>
                </v:rect>
                <v:rect id="1030" o:spid="_x0000_s1026" o:spt="1" style="position:absolute;left:4577;top:52890;height:1123;width:8324;v-text-anchor:middle;" fillcolor="#AD002D" filled="t" stroked="t" coordsize="21600,21600" o:gfxdata="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Ng+4+/&#10;AAAA3QAAAA8AAAAAAAAAAQAgAAAAIgAAAGRycy9kb3ducmV2LnhtbFBLAQIUABQAAAAIAIdO4kAz&#10;LwWeOwAAADkAAAAQAAAAAAAAAAEAIAAAAA4BAABkcnMvc2hhcGV4bWwueG1sUEsFBgAAAAAGAAYA&#10;WwEAALgDAAAAAA==&#10;">
                  <v:fill on="t" focussize="0,0"/>
                  <v:stroke weight="2pt" color="#AF7621" miterlimit="8" joinstyle="miter"/>
                  <v:imagedata o:title=""/>
                  <o:lock v:ext="edit" aspectratio="f"/>
                  <v:textbox>
                    <w:txbxContent>
                      <w:p>
                        <w:pPr>
                          <w:widowControl/>
                          <w:jc w:val="left"/>
                          <w:rPr>
                            <w:rFonts w:ascii="楷体" w:hAnsi="楷体" w:eastAsia="楷体" w:cs="楷体"/>
                            <w:b/>
                            <w:bCs/>
                            <w:color w:val="FDEFBE"/>
                            <w:kern w:val="0"/>
                            <w:sz w:val="36"/>
                            <w:szCs w:val="36"/>
                          </w:rPr>
                        </w:pPr>
                        <w:r>
                          <w:rPr>
                            <w:rFonts w:hint="eastAsia" w:ascii="楷体" w:hAnsi="楷体" w:eastAsia="楷体" w:cs="楷体"/>
                            <w:b/>
                            <w:bCs/>
                            <w:color w:val="FDEFBE"/>
                            <w:kern w:val="0"/>
                            <w:sz w:val="36"/>
                            <w:szCs w:val="36"/>
                          </w:rPr>
                          <w:t>2018年度部门决算</w:t>
                        </w:r>
                        <w:r>
                          <w:rPr>
                            <w:rFonts w:ascii="Segoe UI Symbol" w:hAnsi="Segoe UI Symbol" w:eastAsia="楷体" w:cs="Segoe UI Symbol"/>
                            <w:b/>
                            <w:bCs/>
                            <w:color w:val="FDEFBE"/>
                            <w:kern w:val="0"/>
                            <w:sz w:val="36"/>
                            <w:szCs w:val="36"/>
                          </w:rPr>
                          <w:t>☞</w:t>
                        </w:r>
                        <w:r>
                          <w:rPr>
                            <w:rFonts w:hint="eastAsia" w:ascii="楷体" w:hAnsi="楷体" w:eastAsia="楷体" w:cs="楷体"/>
                            <w:b/>
                            <w:bCs/>
                            <w:color w:val="FDEFBE"/>
                            <w:kern w:val="0"/>
                            <w:sz w:val="36"/>
                            <w:szCs w:val="36"/>
                          </w:rPr>
                          <w:t>目 录</w:t>
                        </w:r>
                      </w:p>
                      <w:p>
                        <w:pPr>
                          <w:jc w:val="center"/>
                          <w:rPr>
                            <w:rFonts w:asciiTheme="minorHAnsi" w:hAnsiTheme="minorHAnsi" w:eastAsiaTheme="minorEastAsia" w:cstheme="minorBidi"/>
                            <w:szCs w:val="22"/>
                          </w:rPr>
                        </w:pPr>
                      </w:p>
                    </w:txbxContent>
                  </v:textbox>
                </v:rect>
                <w10:anchorlock/>
              </v:group>
            </w:pict>
          </mc:Fallback>
        </mc:AlternateContent>
      </w:r>
      <w:r>
        <w:rPr>
          <w:rFonts w:eastAsia="黑体"/>
          <w:sz w:val="32"/>
          <w:szCs w:val="32"/>
        </w:rPr>
        <w:t>第三部分  201</w:t>
      </w:r>
      <w:r>
        <w:rPr>
          <w:rFonts w:hint="eastAsia" w:eastAsia="黑体"/>
          <w:sz w:val="32"/>
          <w:szCs w:val="32"/>
        </w:rPr>
        <w:t>8</w:t>
      </w:r>
      <w:r>
        <w:rPr>
          <w:rFonts w:eastAsia="黑体"/>
          <w:sz w:val="32"/>
          <w:szCs w:val="32"/>
        </w:rPr>
        <w:t>年部门决算情况说明</w:t>
      </w:r>
    </w:p>
    <w:p>
      <w:pPr>
        <w:widowControl/>
        <w:spacing w:line="580" w:lineRule="exact"/>
        <w:ind w:left="640" w:firstLine="640" w:firstLineChars="200"/>
        <w:rPr>
          <w:rFonts w:eastAsia="仿宋_GB2312"/>
          <w:sz w:val="32"/>
          <w:szCs w:val="32"/>
        </w:rPr>
      </w:pPr>
      <w:r>
        <w:rPr>
          <w:rFonts w:eastAsia="仿宋_GB2312"/>
          <w:sz w:val="32"/>
          <w:szCs w:val="32"/>
        </w:rPr>
        <w:t>一、收入支出决算总体情况说明</w:t>
      </w:r>
    </w:p>
    <w:p>
      <w:pPr>
        <w:widowControl/>
        <w:spacing w:line="580" w:lineRule="exact"/>
        <w:ind w:left="640" w:firstLine="640" w:firstLineChars="200"/>
        <w:rPr>
          <w:rFonts w:eastAsia="仿宋_GB2312"/>
          <w:sz w:val="32"/>
          <w:szCs w:val="32"/>
        </w:rPr>
      </w:pPr>
      <w:r>
        <w:rPr>
          <w:rFonts w:eastAsia="仿宋_GB2312"/>
          <w:sz w:val="32"/>
          <w:szCs w:val="32"/>
        </w:rPr>
        <w:t>二、收入决算情况说明</w:t>
      </w:r>
    </w:p>
    <w:p>
      <w:pPr>
        <w:widowControl/>
        <w:spacing w:line="580" w:lineRule="exact"/>
        <w:ind w:left="640" w:firstLine="640" w:firstLineChars="200"/>
        <w:rPr>
          <w:rFonts w:eastAsia="仿宋_GB2312"/>
          <w:sz w:val="32"/>
          <w:szCs w:val="32"/>
        </w:rPr>
      </w:pPr>
      <w:r>
        <w:rPr>
          <w:rFonts w:eastAsia="仿宋_GB2312"/>
          <w:sz w:val="32"/>
          <w:szCs w:val="32"/>
        </w:rPr>
        <w:t>三、支出决算情况说明</w:t>
      </w:r>
    </w:p>
    <w:p>
      <w:pPr>
        <w:widowControl/>
        <w:spacing w:line="580" w:lineRule="exact"/>
        <w:ind w:left="640" w:firstLine="640" w:firstLineChars="200"/>
        <w:rPr>
          <w:rFonts w:eastAsia="仿宋_GB2312"/>
          <w:sz w:val="32"/>
          <w:szCs w:val="32"/>
        </w:rPr>
      </w:pPr>
      <w:r>
        <w:rPr>
          <w:rFonts w:eastAsia="仿宋_GB2312"/>
          <w:sz w:val="32"/>
          <w:szCs w:val="32"/>
        </w:rPr>
        <w:t>四、财政拨款收入支出决算情况说明</w:t>
      </w:r>
    </w:p>
    <w:p>
      <w:pPr>
        <w:widowControl/>
        <w:spacing w:line="580" w:lineRule="exact"/>
        <w:ind w:left="640" w:firstLine="640" w:firstLineChars="200"/>
        <w:rPr>
          <w:rFonts w:eastAsia="仿宋_GB2312"/>
          <w:sz w:val="32"/>
          <w:szCs w:val="32"/>
        </w:rPr>
      </w:pPr>
      <w:r>
        <w:rPr>
          <w:rFonts w:hint="eastAsia" w:eastAsia="仿宋_GB2312"/>
          <w:sz w:val="32"/>
          <w:szCs w:val="32"/>
        </w:rPr>
        <w:t>五、一般公共预算</w:t>
      </w:r>
      <w:r>
        <w:rPr>
          <w:rFonts w:hint="eastAsia" w:eastAsia="仿宋_GB2312"/>
          <w:sz w:val="32"/>
          <w:szCs w:val="32"/>
          <w:lang w:val="en-US" w:eastAsia="zh-CN"/>
        </w:rPr>
        <w:t>财政拨款</w:t>
      </w:r>
      <w:r>
        <w:rPr>
          <w:rFonts w:eastAsia="仿宋_GB2312"/>
          <w:sz w:val="32"/>
          <w:szCs w:val="32"/>
        </w:rPr>
        <w:t>“三公”经费支出决算情况</w:t>
      </w:r>
      <w:bookmarkStart w:id="0" w:name="_GoBack"/>
      <w:bookmarkEnd w:id="0"/>
      <w:r>
        <w:rPr>
          <w:rFonts w:eastAsia="仿宋_GB2312"/>
          <w:sz w:val="32"/>
          <w:szCs w:val="32"/>
        </w:rPr>
        <w:t>说明</w:t>
      </w:r>
    </w:p>
    <w:p>
      <w:pPr>
        <w:widowControl/>
        <w:spacing w:line="580" w:lineRule="exact"/>
        <w:ind w:left="640" w:firstLine="640" w:firstLineChars="200"/>
        <w:rPr>
          <w:rFonts w:eastAsia="仿宋_GB2312"/>
          <w:sz w:val="32"/>
          <w:szCs w:val="32"/>
        </w:rPr>
      </w:pPr>
      <w:r>
        <w:rPr>
          <w:rFonts w:hint="eastAsia" w:eastAsia="仿宋_GB2312"/>
          <w:sz w:val="32"/>
          <w:szCs w:val="32"/>
        </w:rPr>
        <w:t>六</w:t>
      </w:r>
      <w:r>
        <w:rPr>
          <w:rFonts w:eastAsia="仿宋_GB2312"/>
          <w:sz w:val="32"/>
          <w:szCs w:val="32"/>
        </w:rPr>
        <w:t>、预算绩效情况说明</w:t>
      </w:r>
    </w:p>
    <w:p>
      <w:pPr>
        <w:widowControl/>
        <w:spacing w:line="580" w:lineRule="exact"/>
        <w:ind w:left="640" w:firstLine="640" w:firstLineChars="200"/>
        <w:rPr>
          <w:rFonts w:eastAsia="仿宋_GB2312"/>
          <w:sz w:val="32"/>
          <w:szCs w:val="32"/>
        </w:rPr>
      </w:pPr>
      <w:r>
        <w:rPr>
          <w:rFonts w:hint="eastAsia" w:eastAsia="仿宋_GB2312"/>
          <w:sz w:val="32"/>
          <w:szCs w:val="32"/>
        </w:rPr>
        <w:t>七</w:t>
      </w:r>
      <w:r>
        <w:rPr>
          <w:rFonts w:eastAsia="仿宋_GB2312"/>
          <w:sz w:val="32"/>
          <w:szCs w:val="32"/>
        </w:rPr>
        <w:t>、其他重要事项的说明</w:t>
      </w:r>
    </w:p>
    <w:p>
      <w:pPr>
        <w:widowControl/>
        <w:spacing w:line="580" w:lineRule="exact"/>
        <w:ind w:firstLine="640" w:firstLineChars="200"/>
        <w:rPr>
          <w:rFonts w:eastAsia="黑体"/>
          <w:sz w:val="32"/>
          <w:szCs w:val="32"/>
        </w:rPr>
      </w:pPr>
      <w:r>
        <w:rPr>
          <w:rFonts w:eastAsia="黑体"/>
          <w:sz w:val="32"/>
          <w:szCs w:val="32"/>
        </w:rPr>
        <w:t>第四部分  名词解释</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br w:type="page"/>
      </w:r>
    </w:p>
    <w:p>
      <w:r>
        <w:rPr>
          <w:rFonts w:hint="eastAsia" w:ascii="宋体" w:hAnsi="宋体" w:cs="ArialUnicodeMS"/>
          <w:color w:val="000000"/>
          <w:kern w:val="0"/>
        </w:rPr>
        <w:drawing>
          <wp:anchor distT="0" distB="0" distL="0" distR="0" simplePos="0" relativeHeight="251660288" behindDoc="1" locked="0" layoutInCell="1" allowOverlap="1">
            <wp:simplePos x="0" y="0"/>
            <wp:positionH relativeFrom="column">
              <wp:posOffset>-1024255</wp:posOffset>
            </wp:positionH>
            <wp:positionV relativeFrom="paragraph">
              <wp:posOffset>-1351915</wp:posOffset>
            </wp:positionV>
            <wp:extent cx="7585710" cy="10727055"/>
            <wp:effectExtent l="0" t="0" r="15240" b="17145"/>
            <wp:wrapNone/>
            <wp:docPr id="1034" name="图片 12"/>
            <wp:cNvGraphicFramePr/>
            <a:graphic xmlns:a="http://schemas.openxmlformats.org/drawingml/2006/main">
              <a:graphicData uri="http://schemas.openxmlformats.org/drawingml/2006/picture">
                <pic:pic xmlns:pic="http://schemas.openxmlformats.org/drawingml/2006/picture">
                  <pic:nvPicPr>
                    <pic:cNvPr id="1034" name="图片 12"/>
                    <pic:cNvPicPr/>
                  </pic:nvPicPr>
                  <pic:blipFill>
                    <a:blip r:embed="rId12" cstate="print"/>
                    <a:srcRect/>
                    <a:stretch>
                      <a:fillRect/>
                    </a:stretch>
                  </pic:blipFill>
                  <pic:spPr>
                    <a:xfrm>
                      <a:off x="0" y="0"/>
                      <a:ext cx="7585710" cy="10727055"/>
                    </a:xfrm>
                    <a:prstGeom prst="rect">
                      <a:avLst/>
                    </a:prstGeom>
                  </pic:spPr>
                </pic:pic>
              </a:graphicData>
            </a:graphic>
          </wp:anchor>
        </w:drawing>
      </w:r>
      <w:r>
        <w:rPr>
          <w:sz w:val="72"/>
        </w:rPr>
        <mc:AlternateContent>
          <mc:Choice Requires="wps">
            <w:drawing>
              <wp:anchor distT="0" distB="0" distL="114300" distR="114300" simplePos="0" relativeHeight="251669504" behindDoc="0" locked="0" layoutInCell="1" allowOverlap="1">
                <wp:simplePos x="0" y="0"/>
                <wp:positionH relativeFrom="column">
                  <wp:posOffset>-1235710</wp:posOffset>
                </wp:positionH>
                <wp:positionV relativeFrom="paragraph">
                  <wp:posOffset>3290570</wp:posOffset>
                </wp:positionV>
                <wp:extent cx="7793355" cy="1037590"/>
                <wp:effectExtent l="1270" t="3175" r="0" b="0"/>
                <wp:wrapNone/>
                <wp:docPr id="1024" name="1035"/>
                <wp:cNvGraphicFramePr/>
                <a:graphic xmlns:a="http://schemas.openxmlformats.org/drawingml/2006/main">
                  <a:graphicData uri="http://schemas.microsoft.com/office/word/2010/wordprocessingShape">
                    <wps:wsp>
                      <wps:cNvSpPr>
                        <a:spLocks noChangeArrowheads="1"/>
                      </wps:cNvSpPr>
                      <wps:spPr bwMode="auto">
                        <a:xfrm>
                          <a:off x="0" y="0"/>
                          <a:ext cx="7793355" cy="1037590"/>
                        </a:xfrm>
                        <a:prstGeom prst="rect">
                          <a:avLst/>
                        </a:prstGeom>
                        <a:noFill/>
                        <a:ln>
                          <a:noFill/>
                        </a:ln>
                      </wps:spPr>
                      <wps:txbx>
                        <w:txbxContent>
                          <w:p>
                            <w:pPr>
                              <w:widowControl/>
                              <w:jc w:val="center"/>
                              <w:rPr>
                                <w:color w:val="FDEFBE"/>
                                <w:sz w:val="96"/>
                                <w:szCs w:val="96"/>
                              </w:rPr>
                            </w:pPr>
                            <w:r>
                              <w:rPr>
                                <w:rFonts w:hint="eastAsia" w:ascii="黑体" w:hAnsi="宋体" w:eastAsia="黑体"/>
                                <w:color w:val="FDEFBE"/>
                                <w:sz w:val="96"/>
                                <w:szCs w:val="96"/>
                              </w:rPr>
                              <w:t>第一部分  部门概况</w:t>
                            </w:r>
                          </w:p>
                        </w:txbxContent>
                      </wps:txbx>
                      <wps:bodyPr rot="0" vert="horz" wrap="square" lIns="91440" tIns="45720" rIns="91440" bIns="45720" anchor="t" anchorCtr="0" upright="1">
                        <a:noAutofit/>
                      </wps:bodyPr>
                    </wps:wsp>
                  </a:graphicData>
                </a:graphic>
              </wp:anchor>
            </w:drawing>
          </mc:Choice>
          <mc:Fallback>
            <w:pict>
              <v:rect id="1035" o:spid="_x0000_s1026" o:spt="1" style="position:absolute;left:0pt;margin-left:-97.3pt;margin-top:259.1pt;height:81.7pt;width:613.65pt;z-index:251669504;mso-width-relative:page;mso-height-relative:page;" filled="f" stroked="f" coordsize="21600,21600" o:gfxdata="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0KiiveAAAADQEAAA8AAAAAAAAAAQAgAAAAIgAA&#10;AGRycy9kb3ducmV2LnhtbFBLAQIUABQAAAAIAIdO4kBP/TDbAgIAAAgEAAAOAAAAAAAAAAEAIAAA&#10;AC0BAABkcnMvZTJvRG9jLnhtbFBLBQYAAAAABgAGAFkBAAChBQAAAAA=&#10;">
                <v:fill on="f" focussize="0,0"/>
                <v:stroke on="f"/>
                <v:imagedata o:title=""/>
                <o:lock v:ext="edit" aspectratio="f"/>
                <v:textbox>
                  <w:txbxContent>
                    <w:p>
                      <w:pPr>
                        <w:widowControl/>
                        <w:jc w:val="center"/>
                        <w:rPr>
                          <w:color w:val="FDEFBE"/>
                          <w:sz w:val="96"/>
                          <w:szCs w:val="96"/>
                        </w:rPr>
                      </w:pPr>
                      <w:r>
                        <w:rPr>
                          <w:rFonts w:hint="eastAsia" w:ascii="黑体" w:hAnsi="宋体" w:eastAsia="黑体"/>
                          <w:color w:val="FDEFBE"/>
                          <w:sz w:val="96"/>
                          <w:szCs w:val="96"/>
                        </w:rPr>
                        <w:t>第一部分  部门概况</w:t>
                      </w:r>
                    </w:p>
                  </w:txbxContent>
                </v:textbox>
              </v:rect>
            </w:pict>
          </mc:Fallback>
        </mc:AlternateContent>
      </w:r>
    </w:p>
    <w:p/>
    <w:p/>
    <w:p/>
    <w:p/>
    <w:p/>
    <w:p/>
    <w:p/>
    <w:p/>
    <w:p/>
    <w:p/>
    <w:p/>
    <w:p/>
    <w:p/>
    <w:p/>
    <w:p/>
    <w:p>
      <w:pPr>
        <w:pStyle w:val="2"/>
        <w:spacing w:before="0" w:after="0" w:line="600" w:lineRule="exact"/>
        <w:jc w:val="left"/>
        <w:rPr>
          <w:rFonts w:ascii="黑体" w:hAnsi="Cambria" w:eastAsia="黑体" w:cs="黑体"/>
          <w:b w:val="0"/>
          <w:bCs w:val="0"/>
          <w:kern w:val="0"/>
          <w:sz w:val="32"/>
          <w:szCs w:val="32"/>
        </w:rPr>
      </w:pPr>
      <w:r>
        <w:rPr>
          <w:rFonts w:ascii="黑体" w:hAnsi="Cambria" w:eastAsia="黑体" w:cs="黑体"/>
          <w:b w:val="0"/>
          <w:bCs w:val="0"/>
          <w:kern w:val="0"/>
          <w:sz w:val="32"/>
          <w:szCs w:val="32"/>
          <w:lang w:val="zh-CN"/>
        </w:rPr>
        <mc:AlternateContent>
          <mc:Choice Requires="wpg">
            <w:drawing>
              <wp:anchor distT="0" distB="0" distL="114300" distR="114300" simplePos="0" relativeHeight="251683840" behindDoc="0" locked="1" layoutInCell="1" allowOverlap="1">
                <wp:simplePos x="0" y="0"/>
                <wp:positionH relativeFrom="column">
                  <wp:posOffset>-1026160</wp:posOffset>
                </wp:positionH>
                <wp:positionV relativeFrom="page">
                  <wp:posOffset>501650</wp:posOffset>
                </wp:positionV>
                <wp:extent cx="3114675" cy="593090"/>
                <wp:effectExtent l="10795" t="0" r="0" b="19685"/>
                <wp:wrapNone/>
                <wp:docPr id="1149" name="1036"/>
                <wp:cNvGraphicFramePr/>
                <a:graphic xmlns:a="http://schemas.openxmlformats.org/drawingml/2006/main">
                  <a:graphicData uri="http://schemas.microsoft.com/office/word/2010/wordprocessingGroup">
                    <wpg:wgp>
                      <wpg:cNvGrpSpPr/>
                      <wpg:grpSpPr>
                        <a:xfrm>
                          <a:off x="0" y="0"/>
                          <a:ext cx="3114675" cy="593090"/>
                          <a:chOff x="4551" y="52615"/>
                          <a:chExt cx="8546" cy="1398"/>
                        </a:xfrm>
                      </wpg:grpSpPr>
                      <wps:wsp>
                        <wps:cNvPr id="1150" name="1037"/>
                        <wps:cNvSpPr>
                          <a:spLocks noChangeArrowheads="1"/>
                        </wps:cNvSpPr>
                        <wps:spPr bwMode="auto">
                          <a:xfrm>
                            <a:off x="4551" y="52615"/>
                            <a:ext cx="8546" cy="1175"/>
                          </a:xfrm>
                          <a:prstGeom prst="rect">
                            <a:avLst/>
                          </a:prstGeom>
                          <a:solidFill>
                            <a:srgbClr val="D8D8D8"/>
                          </a:solidFill>
                          <a:ln>
                            <a:noFill/>
                          </a:ln>
                        </wps:spPr>
                        <wps:bodyPr rot="0" vert="horz" wrap="square" lIns="91440" tIns="45720" rIns="91440" bIns="45720" anchor="t" anchorCtr="0" upright="1">
                          <a:noAutofit/>
                        </wps:bodyPr>
                      </wps:wsp>
                      <wps:wsp>
                        <wps:cNvPr id="1151" name="1038"/>
                        <wps:cNvSpPr>
                          <a:spLocks noChangeArrowheads="1"/>
                        </wps:cNvSpPr>
                        <wps:spPr bwMode="auto">
                          <a:xfrm>
                            <a:off x="4577" y="52890"/>
                            <a:ext cx="8324" cy="1123"/>
                          </a:xfrm>
                          <a:prstGeom prst="rect">
                            <a:avLst/>
                          </a:prstGeom>
                          <a:solidFill>
                            <a:srgbClr val="AD002D"/>
                          </a:solidFill>
                          <a:ln w="25400">
                            <a:solidFill>
                              <a:srgbClr val="AF7621"/>
                            </a:solidFill>
                            <a:miter lim="800000"/>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2018年度部门决算☞部门概况</w:t>
                              </w:r>
                            </w:p>
                            <w:p>
                              <w:pPr>
                                <w:jc w:val="center"/>
                              </w:pPr>
                            </w:p>
                          </w:txbxContent>
                        </wps:txbx>
                        <wps:bodyPr rot="0" vert="horz" wrap="square" lIns="91440" tIns="45720" rIns="91440" bIns="45720" anchor="ctr" anchorCtr="0" upright="1">
                          <a:noAutofit/>
                        </wps:bodyPr>
                      </wps:wsp>
                    </wpg:wgp>
                  </a:graphicData>
                </a:graphic>
              </wp:anchor>
            </w:drawing>
          </mc:Choice>
          <mc:Fallback>
            <w:pict>
              <v:group id="1036" o:spid="_x0000_s1026" o:spt="203" style="position:absolute;left:0pt;margin-left:-80.8pt;margin-top:39.5pt;height:46.7pt;width:245.25pt;mso-position-vertical-relative:page;z-index:251683840;mso-width-relative:page;mso-height-relative:page;" coordorigin="4551,52615" coordsize="8546,1398" o:gfxdata="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CDJ1BDbAAAACwEAAA8AAAAAAAAAAQAgAAAAIgAAAGRycy9kb3du&#10;cmV2LnhtbFBLAQIUABQAAAAIAIdO4kC1Y4v44AIAAPcHAAAOAAAAAAAAAAEAIAAAACoBAABkcnMv&#10;ZTJvRG9jLnhtbFBLBQYAAAAABgAGAFkBAAB8BgAAAAA=&#10;">
                <o:lock v:ext="edit" aspectratio="f"/>
                <v:rect id="1037" o:spid="_x0000_s1026" o:spt="1" style="position:absolute;left:4551;top:52615;height:1175;width:8546;" fillcolor="#D8D8D8" filled="t" stroked="f" coordsize="21600,21600" o:gfxdata="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t23DG/&#10;AAAA3QAAAA8AAAAAAAAAAQAgAAAAIgAAAGRycy9kb3ducmV2LnhtbFBLAQIUABQAAAAIAIdO4kAz&#10;LwWeOwAAADkAAAAQAAAAAAAAAAEAIAAAAA4BAABkcnMvc2hhcGV4bWwueG1sUEsFBgAAAAAGAAYA&#10;WwEAALgDAAAAAA==&#10;">
                  <v:fill on="t" focussize="0,0"/>
                  <v:stroke on="f"/>
                  <v:imagedata o:title=""/>
                  <o:lock v:ext="edit" aspectratio="f"/>
                </v:rect>
                <v:rect id="1038" o:spid="_x0000_s1026" o:spt="1" style="position:absolute;left:4577;top:52890;height:1123;width:8324;v-text-anchor:middle;" fillcolor="#AD002D" filled="t" stroked="t" coordsize="21600,21600" o:gfxdata="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L0u8rsAAADd&#10;AAAADwAAAAAAAAABACAAAAAiAAAAZHJzL2Rvd25yZXYueG1sUEsBAhQAFAAAAAgAh07iQDMvBZ47&#10;AAAAOQAAABAAAAAAAAAAAQAgAAAACgEAAGRycy9zaGFwZXhtbC54bWxQSwUGAAAAAAYABgBbAQAA&#10;tAMAAAAA&#10;">
                  <v:fill on="t" focussize="0,0"/>
                  <v:stroke weight="2pt" color="#AF7621" miterlimit="8" joinstyle="miter"/>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2018年度部门决算☞部门概况</w:t>
                        </w:r>
                      </w:p>
                      <w:p>
                        <w:pPr>
                          <w:jc w:val="center"/>
                        </w:pPr>
                      </w:p>
                    </w:txbxContent>
                  </v:textbox>
                </v:rect>
                <w10:anchorlock/>
              </v:group>
            </w:pict>
          </mc:Fallback>
        </mc:AlternateContent>
      </w:r>
      <w:r>
        <w:rPr>
          <w:rFonts w:hint="eastAsia" w:ascii="黑体" w:hAnsi="Cambria" w:eastAsia="黑体" w:cs="黑体"/>
          <w:b w:val="0"/>
          <w:bCs w:val="0"/>
          <w:kern w:val="0"/>
          <w:sz w:val="32"/>
          <w:szCs w:val="32"/>
        </w:rPr>
        <w:t>一、部门职责</w:t>
      </w:r>
    </w:p>
    <w:p>
      <w:pPr>
        <w:keepNext w:val="0"/>
        <w:keepLines w:val="0"/>
        <w:pageBreakBefore w:val="0"/>
        <w:widowControl/>
        <w:kinsoku/>
        <w:wordWrap/>
        <w:overflowPunct/>
        <w:topLinePunct w:val="0"/>
        <w:autoSpaceDE/>
        <w:autoSpaceDN/>
        <w:bidi w:val="0"/>
        <w:adjustRightInd/>
        <w:snapToGrid/>
        <w:spacing w:after="0" w:line="560" w:lineRule="exact"/>
        <w:ind w:left="0" w:firstLine="640" w:firstLineChars="200"/>
        <w:textAlignment w:val="auto"/>
        <w:rPr>
          <w:rFonts w:hint="eastAsia" w:eastAsia="仿宋_GB2312"/>
          <w:sz w:val="32"/>
          <w:szCs w:val="32"/>
        </w:rPr>
      </w:pPr>
      <w:r>
        <w:rPr>
          <w:rFonts w:hint="eastAsia" w:eastAsia="仿宋_GB2312"/>
          <w:sz w:val="32"/>
          <w:szCs w:val="32"/>
        </w:rPr>
        <w:t>根据《唐山市环境保护局职能配置、内设机构和人员编制方案》规定，唐山市环境保护局的主要职责是：</w:t>
      </w:r>
    </w:p>
    <w:p>
      <w:pPr>
        <w:keepNext w:val="0"/>
        <w:keepLines w:val="0"/>
        <w:pageBreakBefore w:val="0"/>
        <w:widowControl/>
        <w:kinsoku/>
        <w:wordWrap/>
        <w:overflowPunct/>
        <w:topLinePunct w:val="0"/>
        <w:autoSpaceDE/>
        <w:autoSpaceDN/>
        <w:bidi w:val="0"/>
        <w:adjustRightInd/>
        <w:snapToGrid/>
        <w:spacing w:after="0" w:line="560" w:lineRule="exact"/>
        <w:ind w:left="0" w:firstLine="640" w:firstLineChars="200"/>
        <w:textAlignment w:val="auto"/>
        <w:rPr>
          <w:rFonts w:hint="eastAsia" w:eastAsia="仿宋_GB2312"/>
          <w:sz w:val="32"/>
          <w:szCs w:val="32"/>
        </w:rPr>
      </w:pPr>
      <w:r>
        <w:rPr>
          <w:rFonts w:hint="eastAsia" w:eastAsia="仿宋_GB2312"/>
          <w:sz w:val="32"/>
          <w:szCs w:val="32"/>
        </w:rPr>
        <w:t>1、负责建立健全环境保护基本制度。拟订并组织实施全市环境保护政策、规划，起草地方规范性文件草案。组织编制环境功能区划，组织制定环境保护地方性标准、基准和技术规范，组织拟订并监督实施重点区域、流域污染防治规划和饮用水水源地环境保护规划，参与制定全市主体功能区划。</w:t>
      </w:r>
    </w:p>
    <w:p>
      <w:pPr>
        <w:keepNext w:val="0"/>
        <w:keepLines w:val="0"/>
        <w:pageBreakBefore w:val="0"/>
        <w:widowControl/>
        <w:kinsoku/>
        <w:wordWrap/>
        <w:overflowPunct/>
        <w:topLinePunct w:val="0"/>
        <w:autoSpaceDE/>
        <w:autoSpaceDN/>
        <w:bidi w:val="0"/>
        <w:adjustRightInd/>
        <w:snapToGrid/>
        <w:spacing w:after="0" w:line="560" w:lineRule="exact"/>
        <w:ind w:left="0" w:firstLine="640" w:firstLineChars="200"/>
        <w:textAlignment w:val="auto"/>
        <w:rPr>
          <w:rFonts w:hint="eastAsia" w:eastAsia="仿宋_GB2312"/>
          <w:sz w:val="32"/>
          <w:szCs w:val="32"/>
        </w:rPr>
      </w:pPr>
      <w:r>
        <w:rPr>
          <w:rFonts w:hint="eastAsia" w:eastAsia="仿宋_GB2312"/>
          <w:sz w:val="32"/>
          <w:szCs w:val="32"/>
        </w:rPr>
        <w:t>2、负责重大环境问题的统筹协调和监督管理。牵头协调市内重特大环境污染事故和生态破坏事件的调查处理，指导协调县、区政府对重特大突发环境事件的应急、预警工作，协调解决有关跨区域环境污染纠纷，统筹协调全市重点流域、区域污染防治工作。</w:t>
      </w:r>
    </w:p>
    <w:p>
      <w:pPr>
        <w:keepNext w:val="0"/>
        <w:keepLines w:val="0"/>
        <w:pageBreakBefore w:val="0"/>
        <w:widowControl/>
        <w:kinsoku/>
        <w:wordWrap/>
        <w:overflowPunct/>
        <w:topLinePunct w:val="0"/>
        <w:autoSpaceDE/>
        <w:autoSpaceDN/>
        <w:bidi w:val="0"/>
        <w:adjustRightInd/>
        <w:snapToGrid/>
        <w:spacing w:after="0" w:line="560" w:lineRule="exact"/>
        <w:ind w:left="0" w:firstLine="640" w:firstLineChars="200"/>
        <w:textAlignment w:val="auto"/>
        <w:rPr>
          <w:rFonts w:hint="eastAsia" w:eastAsia="仿宋_GB2312"/>
          <w:sz w:val="32"/>
          <w:szCs w:val="32"/>
        </w:rPr>
      </w:pPr>
      <w:r>
        <w:rPr>
          <w:rFonts w:hint="eastAsia" w:eastAsia="仿宋_GB2312"/>
          <w:sz w:val="32"/>
          <w:szCs w:val="32"/>
        </w:rPr>
        <w:t>3、负责落实全市污染物减排目标的责任。组织制定主要污染物排放总量控制和排污许可证制度并监督实施。提出全市总量控制的污染物名称和控制指标，督查、督办、核查各县(区)污染物减排任务完成情况，实施环境保护目标责任制、总量减排考核并公布考核结果。</w:t>
      </w:r>
    </w:p>
    <w:p>
      <w:pPr>
        <w:keepNext w:val="0"/>
        <w:keepLines w:val="0"/>
        <w:pageBreakBefore w:val="0"/>
        <w:widowControl/>
        <w:kinsoku/>
        <w:wordWrap/>
        <w:overflowPunct/>
        <w:topLinePunct w:val="0"/>
        <w:autoSpaceDE/>
        <w:autoSpaceDN/>
        <w:bidi w:val="0"/>
        <w:adjustRightInd/>
        <w:snapToGrid/>
        <w:spacing w:after="0" w:line="560" w:lineRule="exact"/>
        <w:ind w:left="0" w:firstLine="640" w:firstLineChars="200"/>
        <w:textAlignment w:val="auto"/>
        <w:rPr>
          <w:rFonts w:hint="eastAsia" w:eastAsia="仿宋_GB2312"/>
          <w:sz w:val="32"/>
          <w:szCs w:val="32"/>
        </w:rPr>
      </w:pPr>
      <w:r>
        <w:rPr>
          <w:rFonts w:hint="eastAsia" w:eastAsia="仿宋_GB2312"/>
          <w:sz w:val="32"/>
          <w:szCs w:val="32"/>
        </w:rPr>
        <w:t>4、负责提出环境保护领域固定资产投资规模和方向、市级财政性资金的安排意见，按市政府规定权限，审批、核准全市规划内和年度计划规模内固定资产投资项目，并配合有关部门做好组织实施和监督工作。参与指导和推动全市循环经济与环保产业发展，参与应对气候变化工作。</w:t>
      </w:r>
    </w:p>
    <w:p>
      <w:pPr>
        <w:keepNext w:val="0"/>
        <w:keepLines w:val="0"/>
        <w:pageBreakBefore w:val="0"/>
        <w:widowControl/>
        <w:kinsoku/>
        <w:wordWrap/>
        <w:overflowPunct/>
        <w:topLinePunct w:val="0"/>
        <w:autoSpaceDE/>
        <w:autoSpaceDN/>
        <w:bidi w:val="0"/>
        <w:adjustRightInd/>
        <w:snapToGrid/>
        <w:spacing w:after="0" w:line="560" w:lineRule="exact"/>
        <w:ind w:left="0" w:firstLine="640" w:firstLineChars="200"/>
        <w:textAlignment w:val="auto"/>
        <w:rPr>
          <w:rFonts w:hint="eastAsia" w:eastAsia="仿宋_GB2312"/>
          <w:sz w:val="32"/>
          <w:szCs w:val="32"/>
        </w:rPr>
      </w:pPr>
      <w:r>
        <w:rPr>
          <w:rFonts w:hint="eastAsia" w:eastAsia="仿宋_GB2312"/>
          <w:sz w:val="32"/>
          <w:szCs w:val="32"/>
        </w:rPr>
        <mc:AlternateContent>
          <mc:Choice Requires="wpg">
            <w:drawing>
              <wp:anchor distT="0" distB="0" distL="114300" distR="114300" simplePos="0" relativeHeight="251684864" behindDoc="0" locked="1" layoutInCell="1" allowOverlap="1">
                <wp:simplePos x="0" y="0"/>
                <wp:positionH relativeFrom="column">
                  <wp:posOffset>-1003300</wp:posOffset>
                </wp:positionH>
                <wp:positionV relativeFrom="page">
                  <wp:posOffset>661670</wp:posOffset>
                </wp:positionV>
                <wp:extent cx="3114675" cy="593090"/>
                <wp:effectExtent l="5080" t="4445" r="4445" b="21590"/>
                <wp:wrapNone/>
                <wp:docPr id="1146" name="Group 152"/>
                <wp:cNvGraphicFramePr/>
                <a:graphic xmlns:a="http://schemas.openxmlformats.org/drawingml/2006/main">
                  <a:graphicData uri="http://schemas.microsoft.com/office/word/2010/wordprocessingGroup">
                    <wpg:wgp>
                      <wpg:cNvGrpSpPr/>
                      <wpg:grpSpPr>
                        <a:xfrm>
                          <a:off x="0" y="0"/>
                          <a:ext cx="3114675" cy="593090"/>
                          <a:chOff x="4551" y="52615"/>
                          <a:chExt cx="8546" cy="1398"/>
                        </a:xfrm>
                      </wpg:grpSpPr>
                      <wps:wsp>
                        <wps:cNvPr id="1147" name="1037"/>
                        <wps:cNvSpPr>
                          <a:spLocks noChangeArrowheads="1"/>
                        </wps:cNvSpPr>
                        <wps:spPr bwMode="auto">
                          <a:xfrm>
                            <a:off x="4551" y="52615"/>
                            <a:ext cx="8546" cy="1175"/>
                          </a:xfrm>
                          <a:prstGeom prst="rect">
                            <a:avLst/>
                          </a:prstGeom>
                          <a:solidFill>
                            <a:srgbClr val="D8D8D8"/>
                          </a:solidFill>
                          <a:ln>
                            <a:noFill/>
                          </a:ln>
                        </wps:spPr>
                        <wps:bodyPr rot="0" vert="horz" wrap="square" lIns="91440" tIns="45720" rIns="91440" bIns="45720" anchor="t" anchorCtr="0" upright="1">
                          <a:noAutofit/>
                        </wps:bodyPr>
                      </wps:wsp>
                      <wps:wsp>
                        <wps:cNvPr id="1148" name="1038"/>
                        <wps:cNvSpPr>
                          <a:spLocks noChangeArrowheads="1"/>
                        </wps:cNvSpPr>
                        <wps:spPr bwMode="auto">
                          <a:xfrm>
                            <a:off x="4577" y="52890"/>
                            <a:ext cx="8324" cy="1123"/>
                          </a:xfrm>
                          <a:prstGeom prst="rect">
                            <a:avLst/>
                          </a:prstGeom>
                          <a:solidFill>
                            <a:srgbClr val="AD002D"/>
                          </a:solidFill>
                          <a:ln w="25400">
                            <a:solidFill>
                              <a:srgbClr val="AF7621"/>
                            </a:solidFill>
                            <a:miter lim="800000"/>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2018年度部门决算☞部门概况</w:t>
                              </w:r>
                            </w:p>
                            <w:p>
                              <w:pPr>
                                <w:jc w:val="center"/>
                              </w:pPr>
                            </w:p>
                          </w:txbxContent>
                        </wps:txbx>
                        <wps:bodyPr rot="0" vert="horz" wrap="square" lIns="91440" tIns="45720" rIns="91440" bIns="45720" anchor="ctr" anchorCtr="0" upright="1">
                          <a:noAutofit/>
                        </wps:bodyPr>
                      </wps:wsp>
                    </wpg:wgp>
                  </a:graphicData>
                </a:graphic>
              </wp:anchor>
            </w:drawing>
          </mc:Choice>
          <mc:Fallback>
            <w:pict>
              <v:group id="Group 152" o:spid="_x0000_s1026" o:spt="203" style="position:absolute;left:0pt;margin-left:-79pt;margin-top:52.1pt;height:46.7pt;width:245.25pt;mso-position-vertical-relative:page;z-index:251684864;mso-width-relative:page;mso-height-relative:page;" coordorigin="4551,52615" coordsize="8546,1398" o:gfxdata="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&#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">
                <o:lock v:ext="edit" aspectratio="f"/>
                <v:rect id="1037" o:spid="_x0000_s1026" o:spt="1" style="position:absolute;left:4551;top:52615;height:1175;width:8546;" fillcolor="#D8D8D8" filled="t" stroked="f" coordsize="21600,21600" o:gfxdata="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G0pi8AAAA&#10;3QAAAA8AAAAAAAAAAQAgAAAAIgAAAGRycy9kb3ducmV2LnhtbFBLAQIUABQAAAAIAIdO4kAzLwWe&#10;OwAAADkAAAAQAAAAAAAAAAEAIAAAAAsBAABkcnMvc2hhcGV4bWwueG1sUEsFBgAAAAAGAAYAWwEA&#10;ALUDAAAAAA==&#10;">
                  <v:fill on="t" focussize="0,0"/>
                  <v:stroke on="f"/>
                  <v:imagedata o:title=""/>
                  <o:lock v:ext="edit" aspectratio="f"/>
                </v:rect>
                <v:rect id="1038" o:spid="_x0000_s1026" o:spt="1" style="position:absolute;left:4577;top:52890;height:1123;width:8324;v-text-anchor:middle;" fillcolor="#AD002D" filled="t" stroked="t" coordsize="21600,21600" o:gfxdata="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heEbK/&#10;AAAA3QAAAA8AAAAAAAAAAQAgAAAAIgAAAGRycy9kb3ducmV2LnhtbFBLAQIUABQAAAAIAIdO4kAz&#10;LwWeOwAAADkAAAAQAAAAAAAAAAEAIAAAAA4BAABkcnMvc2hhcGV4bWwueG1sUEsFBgAAAAAGAAYA&#10;WwEAALgDAAAAAA==&#10;">
                  <v:fill on="t" focussize="0,0"/>
                  <v:stroke weight="2pt" color="#AF7621" miterlimit="8" joinstyle="miter"/>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2018年度部门决算☞部门概况</w:t>
                        </w:r>
                      </w:p>
                      <w:p>
                        <w:pPr>
                          <w:jc w:val="center"/>
                        </w:pPr>
                      </w:p>
                    </w:txbxContent>
                  </v:textbox>
                </v:rect>
                <w10:anchorlock/>
              </v:group>
            </w:pict>
          </mc:Fallback>
        </mc:AlternateContent>
      </w:r>
      <w:r>
        <w:rPr>
          <w:rFonts w:hint="eastAsia" w:eastAsia="仿宋_GB2312"/>
          <w:sz w:val="32"/>
          <w:szCs w:val="32"/>
        </w:rPr>
        <w:t>5、承担从源头上预防、控制环境污染和环境破坏的责任。受市政府委托对重大经济和技术政策、发展规划以及重大经济开发计划进行环境影响评价，对涉及环境保护的地方规范性文件提出有关环境影响方面的意见：按国家和省规定审批重大开发建设区域、项目环境影响评价文件。</w:t>
      </w:r>
    </w:p>
    <w:p>
      <w:pPr>
        <w:keepNext w:val="0"/>
        <w:keepLines w:val="0"/>
        <w:pageBreakBefore w:val="0"/>
        <w:widowControl/>
        <w:kinsoku/>
        <w:wordWrap/>
        <w:overflowPunct/>
        <w:topLinePunct w:val="0"/>
        <w:autoSpaceDE/>
        <w:autoSpaceDN/>
        <w:bidi w:val="0"/>
        <w:adjustRightInd/>
        <w:snapToGrid/>
        <w:spacing w:after="0" w:line="560" w:lineRule="exact"/>
        <w:ind w:left="0" w:firstLine="640" w:firstLineChars="200"/>
        <w:textAlignment w:val="auto"/>
        <w:rPr>
          <w:rFonts w:hint="eastAsia" w:eastAsia="仿宋_GB2312"/>
          <w:sz w:val="32"/>
          <w:szCs w:val="32"/>
        </w:rPr>
      </w:pPr>
      <w:r>
        <w:rPr>
          <w:rFonts w:hint="eastAsia" w:eastAsia="仿宋_GB2312"/>
          <w:sz w:val="32"/>
          <w:szCs w:val="32"/>
        </w:rPr>
        <w:t>6、负责环境污染防治的监督管理。制定水体、大气、土壤、噪声、光、恶臭、固体废物、化学品、机动车等的污染防治管理制度并组织实施，会同有关部门监督管理饮用水水源地环境保护工作，组织指导城镇和农村的环境综合整治工作。组织全市主要河流跨县(区)界的断面水质目标责任考核。</w:t>
      </w:r>
    </w:p>
    <w:p>
      <w:pPr>
        <w:keepNext w:val="0"/>
        <w:keepLines w:val="0"/>
        <w:pageBreakBefore w:val="0"/>
        <w:widowControl/>
        <w:kinsoku/>
        <w:wordWrap/>
        <w:overflowPunct/>
        <w:topLinePunct w:val="0"/>
        <w:autoSpaceDE/>
        <w:autoSpaceDN/>
        <w:bidi w:val="0"/>
        <w:adjustRightInd/>
        <w:snapToGrid/>
        <w:spacing w:after="0" w:line="560" w:lineRule="exact"/>
        <w:ind w:left="0" w:firstLine="640" w:firstLineChars="200"/>
        <w:textAlignment w:val="auto"/>
        <w:rPr>
          <w:rFonts w:hint="eastAsia" w:eastAsia="仿宋_GB2312"/>
          <w:sz w:val="32"/>
          <w:szCs w:val="32"/>
        </w:rPr>
      </w:pPr>
      <w:r>
        <w:rPr>
          <w:rFonts w:hint="eastAsia" w:eastAsia="仿宋_GB2312"/>
          <w:sz w:val="32"/>
          <w:szCs w:val="32"/>
        </w:rPr>
        <w:t>7、指导、协调、监督生态保护工作。拟订生态保护规划，组织评估生态环境质量状况，监督对生态环境有影响的自然资源开发利用活动、重要生态环境建设和生态破坏恢复工作。指导、协调、监督各种类型的自然保护区、风景名胜区、森林公园的环境保护工作，协调和监督野生动植物保护、湿地环境保护、荒漠化防治工作。协调指导农村生态环境保护，监督生物技术环境安全，牵头生物物种(含遗传资源)工作，组织协调生物多样性保护。</w:t>
      </w:r>
    </w:p>
    <w:p>
      <w:pPr>
        <w:keepNext w:val="0"/>
        <w:keepLines w:val="0"/>
        <w:pageBreakBefore w:val="0"/>
        <w:widowControl/>
        <w:kinsoku/>
        <w:wordWrap/>
        <w:overflowPunct/>
        <w:topLinePunct w:val="0"/>
        <w:autoSpaceDE/>
        <w:autoSpaceDN/>
        <w:bidi w:val="0"/>
        <w:adjustRightInd/>
        <w:snapToGrid/>
        <w:spacing w:after="0" w:line="560" w:lineRule="exact"/>
        <w:ind w:left="0" w:firstLine="640" w:firstLineChars="200"/>
        <w:textAlignment w:val="auto"/>
        <w:rPr>
          <w:rFonts w:hint="eastAsia" w:eastAsia="仿宋_GB2312"/>
          <w:sz w:val="32"/>
          <w:szCs w:val="32"/>
        </w:rPr>
      </w:pPr>
      <w:r>
        <w:rPr>
          <w:rFonts w:hint="eastAsia" w:eastAsia="仿宋_GB2312"/>
          <w:sz w:val="32"/>
          <w:szCs w:val="32"/>
        </w:rPr>
        <w:t>8、负责核与辐射安全的监督管理。拟订有关政策、规</w:t>
      </w:r>
    </w:p>
    <w:p>
      <w:pPr>
        <w:keepNext w:val="0"/>
        <w:keepLines w:val="0"/>
        <w:pageBreakBefore w:val="0"/>
        <w:widowControl/>
        <w:kinsoku/>
        <w:wordWrap/>
        <w:overflowPunct/>
        <w:topLinePunct w:val="0"/>
        <w:autoSpaceDE/>
        <w:autoSpaceDN/>
        <w:bidi w:val="0"/>
        <w:adjustRightInd/>
        <w:snapToGrid/>
        <w:spacing w:after="0" w:line="560" w:lineRule="exact"/>
        <w:ind w:left="0" w:firstLine="640" w:firstLineChars="200"/>
        <w:textAlignment w:val="auto"/>
        <w:rPr>
          <w:rFonts w:hint="eastAsia" w:eastAsia="仿宋_GB2312"/>
          <w:sz w:val="32"/>
          <w:szCs w:val="32"/>
        </w:rPr>
      </w:pPr>
      <w:r>
        <w:rPr>
          <w:rFonts w:hint="eastAsia" w:eastAsia="仿宋_GB2312"/>
          <w:sz w:val="32"/>
          <w:szCs w:val="32"/>
        </w:rPr>
        <w:t>划、标准，参与核事故应急处理，负责辐射环境事故应急处理工作。监督管理核设施安全、放射源安全，监督管理核设施、核技术应用、电磁辐射、伴有放射性矿产资源开发利用中的污染防治。对核材料的管制和民用核安全设备的设计、制造、安装和无损检验</w:t>
      </w:r>
      <w:r>
        <w:rPr>
          <w:rFonts w:hint="eastAsia" w:eastAsia="仿宋_GB2312"/>
          <w:sz w:val="32"/>
          <w:szCs w:val="32"/>
          <w:lang w:val="zh-CN"/>
        </w:rPr>
        <mc:AlternateContent>
          <mc:Choice Requires="wpg">
            <w:drawing>
              <wp:anchor distT="0" distB="0" distL="114300" distR="114300" simplePos="0" relativeHeight="251685888" behindDoc="0" locked="1" layoutInCell="1" allowOverlap="1">
                <wp:simplePos x="0" y="0"/>
                <wp:positionH relativeFrom="column">
                  <wp:posOffset>-1003300</wp:posOffset>
                </wp:positionH>
                <wp:positionV relativeFrom="page">
                  <wp:posOffset>668020</wp:posOffset>
                </wp:positionV>
                <wp:extent cx="3114675" cy="593090"/>
                <wp:effectExtent l="5080" t="1270" r="4445" b="15240"/>
                <wp:wrapNone/>
                <wp:docPr id="1143" name="Group 155"/>
                <wp:cNvGraphicFramePr/>
                <a:graphic xmlns:a="http://schemas.openxmlformats.org/drawingml/2006/main">
                  <a:graphicData uri="http://schemas.microsoft.com/office/word/2010/wordprocessingGroup">
                    <wpg:wgp>
                      <wpg:cNvGrpSpPr/>
                      <wpg:grpSpPr>
                        <a:xfrm>
                          <a:off x="0" y="0"/>
                          <a:ext cx="3114675" cy="593090"/>
                          <a:chOff x="4551" y="52615"/>
                          <a:chExt cx="8546" cy="1398"/>
                        </a:xfrm>
                      </wpg:grpSpPr>
                      <wps:wsp>
                        <wps:cNvPr id="1144" name="1037"/>
                        <wps:cNvSpPr>
                          <a:spLocks noChangeArrowheads="1"/>
                        </wps:cNvSpPr>
                        <wps:spPr bwMode="auto">
                          <a:xfrm>
                            <a:off x="4551" y="52615"/>
                            <a:ext cx="8546" cy="1175"/>
                          </a:xfrm>
                          <a:prstGeom prst="rect">
                            <a:avLst/>
                          </a:prstGeom>
                          <a:solidFill>
                            <a:srgbClr val="D8D8D8"/>
                          </a:solidFill>
                          <a:ln>
                            <a:noFill/>
                          </a:ln>
                        </wps:spPr>
                        <wps:bodyPr rot="0" vert="horz" wrap="square" lIns="91440" tIns="45720" rIns="91440" bIns="45720" anchor="t" anchorCtr="0" upright="1">
                          <a:noAutofit/>
                        </wps:bodyPr>
                      </wps:wsp>
                      <wps:wsp>
                        <wps:cNvPr id="1145" name="1038"/>
                        <wps:cNvSpPr>
                          <a:spLocks noChangeArrowheads="1"/>
                        </wps:cNvSpPr>
                        <wps:spPr bwMode="auto">
                          <a:xfrm>
                            <a:off x="4577" y="52890"/>
                            <a:ext cx="8324" cy="1123"/>
                          </a:xfrm>
                          <a:prstGeom prst="rect">
                            <a:avLst/>
                          </a:prstGeom>
                          <a:solidFill>
                            <a:srgbClr val="AD002D"/>
                          </a:solidFill>
                          <a:ln w="25400">
                            <a:solidFill>
                              <a:srgbClr val="AF7621"/>
                            </a:solidFill>
                            <a:miter lim="800000"/>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2018年度部门决算☞部门概况</w:t>
                              </w:r>
                            </w:p>
                            <w:p>
                              <w:pPr>
                                <w:jc w:val="center"/>
                              </w:pPr>
                            </w:p>
                          </w:txbxContent>
                        </wps:txbx>
                        <wps:bodyPr rot="0" vert="horz" wrap="square" lIns="91440" tIns="45720" rIns="91440" bIns="45720" anchor="ctr" anchorCtr="0" upright="1">
                          <a:noAutofit/>
                        </wps:bodyPr>
                      </wps:wsp>
                    </wpg:wgp>
                  </a:graphicData>
                </a:graphic>
              </wp:anchor>
            </w:drawing>
          </mc:Choice>
          <mc:Fallback>
            <w:pict>
              <v:group id="Group 155" o:spid="_x0000_s1026" o:spt="203" style="position:absolute;left:0pt;margin-left:-79pt;margin-top:52.6pt;height:46.7pt;width:245.25pt;mso-position-vertical-relative:page;z-index:251685888;mso-width-relative:page;mso-height-relative:page;" coordorigin="4551,52615" coordsize="8546,1398" o:gfxdata="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&#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AAAAAZHJzL1BLAQIUABQAAAAIAIdO4kAce/Uv2wAAAAwBAAAPAAAAAAAAAAEAIAAAACIAAABk&#10;cnMvZG93bnJldi54bWxQSwECFAAUAAAACACHTuJAY/F9JecCAAD8BwAADgAAAAAAAAABACAAAAAq&#10;AQAAZHJzL2Uyb0RvYy54bWxQSwUGAAAAAAYABgBZAQAAgwYAAAAA&#10;">
                <o:lock v:ext="edit" aspectratio="f"/>
                <v:rect id="1037" o:spid="_x0000_s1026" o:spt="1" style="position:absolute;left:4551;top:52615;height:1175;width:8546;" fillcolor="#D8D8D8" filled="t" stroked="f" coordsize="21600,21600" o:gfxdata="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lEzvvQAA&#10;AN0AAAAPAAAAAAAAAAEAIAAAACIAAABkcnMvZG93bnJldi54bWxQSwECFAAUAAAACACHTuJAMy8F&#10;njsAAAA5AAAAEAAAAAAAAAABACAAAAAMAQAAZHJzL3NoYXBleG1sLnhtbFBLBQYAAAAABgAGAFsB&#10;AAC2AwAAAAA=&#10;">
                  <v:fill on="t" focussize="0,0"/>
                  <v:stroke on="f"/>
                  <v:imagedata o:title=""/>
                  <o:lock v:ext="edit" aspectratio="f"/>
                </v:rect>
                <v:rect id="1038" o:spid="_x0000_s1026" o:spt="1" style="position:absolute;left:4577;top:52890;height:1123;width:8324;v-text-anchor:middle;" fillcolor="#AD002D" filled="t" stroked="t" coordsize="21600,21600" o:gfxdata="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X74svQAA&#10;AN0AAAAPAAAAAAAAAAEAIAAAACIAAABkcnMvZG93bnJldi54bWxQSwECFAAUAAAACACHTuJAMy8F&#10;njsAAAA5AAAAEAAAAAAAAAABACAAAAAMAQAAZHJzL3NoYXBleG1sLnhtbFBLBQYAAAAABgAGAFsB&#10;AAC2AwAAAAA=&#10;">
                  <v:fill on="t" focussize="0,0"/>
                  <v:stroke weight="2pt" color="#AF7621" miterlimit="8" joinstyle="miter"/>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2018年度部门决算☞部门概况</w:t>
                        </w:r>
                      </w:p>
                      <w:p>
                        <w:pPr>
                          <w:jc w:val="center"/>
                        </w:pPr>
                      </w:p>
                    </w:txbxContent>
                  </v:textbox>
                </v:rect>
                <w10:anchorlock/>
              </v:group>
            </w:pict>
          </mc:Fallback>
        </mc:AlternateContent>
      </w:r>
      <w:r>
        <w:rPr>
          <w:rFonts w:hint="eastAsia" w:eastAsia="仿宋_GB2312"/>
          <w:sz w:val="32"/>
          <w:szCs w:val="32"/>
        </w:rPr>
        <w:t>活动实施监督管理。</w:t>
      </w:r>
    </w:p>
    <w:p>
      <w:pPr>
        <w:keepNext w:val="0"/>
        <w:keepLines w:val="0"/>
        <w:pageBreakBefore w:val="0"/>
        <w:widowControl/>
        <w:kinsoku/>
        <w:wordWrap/>
        <w:overflowPunct/>
        <w:topLinePunct w:val="0"/>
        <w:autoSpaceDE/>
        <w:autoSpaceDN/>
        <w:bidi w:val="0"/>
        <w:adjustRightInd/>
        <w:snapToGrid/>
        <w:spacing w:after="0" w:line="560" w:lineRule="exact"/>
        <w:ind w:left="0" w:firstLine="640" w:firstLineChars="200"/>
        <w:textAlignment w:val="auto"/>
        <w:rPr>
          <w:rFonts w:hint="eastAsia" w:eastAsia="仿宋_GB2312"/>
          <w:sz w:val="32"/>
          <w:szCs w:val="32"/>
        </w:rPr>
      </w:pPr>
      <w:r>
        <w:rPr>
          <w:rFonts w:hint="eastAsia" w:eastAsia="仿宋_GB2312"/>
          <w:sz w:val="32"/>
          <w:szCs w:val="32"/>
        </w:rPr>
        <w:t>9、负责环境监测和信息发布。制定环境监测制度和规范，组织实施环境质量监测和污染源监督性监测。组织对环境质量状况进行调查评估、预测预警，组织建设和管理市级环境监测网和全市环境信息网，建立和实行环境质量公告制度，统一发布全市环境综合性报告、年度环境状况公报和重大环境信息。</w:t>
      </w:r>
    </w:p>
    <w:p>
      <w:pPr>
        <w:keepNext w:val="0"/>
        <w:keepLines w:val="0"/>
        <w:pageBreakBefore w:val="0"/>
        <w:widowControl/>
        <w:kinsoku/>
        <w:wordWrap/>
        <w:overflowPunct/>
        <w:topLinePunct w:val="0"/>
        <w:autoSpaceDE/>
        <w:autoSpaceDN/>
        <w:bidi w:val="0"/>
        <w:adjustRightInd/>
        <w:snapToGrid/>
        <w:spacing w:after="0" w:line="560" w:lineRule="exact"/>
        <w:ind w:left="0" w:firstLine="640" w:firstLineChars="200"/>
        <w:textAlignment w:val="auto"/>
        <w:rPr>
          <w:rFonts w:hint="eastAsia" w:eastAsia="仿宋_GB2312"/>
          <w:sz w:val="32"/>
          <w:szCs w:val="32"/>
        </w:rPr>
      </w:pPr>
      <w:r>
        <w:rPr>
          <w:rFonts w:hint="eastAsia" w:eastAsia="仿宋_GB2312"/>
          <w:sz w:val="32"/>
          <w:szCs w:val="32"/>
        </w:rPr>
        <w:t>10、负责落实全市生态市创建目标责任制。承担《唐山</w:t>
      </w:r>
    </w:p>
    <w:p>
      <w:pPr>
        <w:keepNext w:val="0"/>
        <w:keepLines w:val="0"/>
        <w:pageBreakBefore w:val="0"/>
        <w:widowControl/>
        <w:kinsoku/>
        <w:wordWrap/>
        <w:overflowPunct/>
        <w:topLinePunct w:val="0"/>
        <w:autoSpaceDE/>
        <w:autoSpaceDN/>
        <w:bidi w:val="0"/>
        <w:adjustRightInd/>
        <w:snapToGrid/>
        <w:spacing w:after="0" w:line="560" w:lineRule="exact"/>
        <w:ind w:left="0" w:firstLine="640" w:firstLineChars="200"/>
        <w:textAlignment w:val="auto"/>
        <w:rPr>
          <w:rFonts w:hint="eastAsia" w:eastAsia="仿宋_GB2312"/>
          <w:sz w:val="32"/>
          <w:szCs w:val="32"/>
        </w:rPr>
      </w:pPr>
      <w:r>
        <w:rPr>
          <w:rFonts w:hint="eastAsia" w:eastAsia="仿宋_GB2312"/>
          <w:sz w:val="32"/>
          <w:szCs w:val="32"/>
        </w:rPr>
        <w:t>生态市建设规划》(规划期15年)创建规划的拟订、修订和实施工作。督查、督办、核查各县(区)生态市创建任务完成情况。</w:t>
      </w:r>
    </w:p>
    <w:p>
      <w:pPr>
        <w:keepNext w:val="0"/>
        <w:keepLines w:val="0"/>
        <w:pageBreakBefore w:val="0"/>
        <w:widowControl/>
        <w:kinsoku/>
        <w:wordWrap/>
        <w:overflowPunct/>
        <w:topLinePunct w:val="0"/>
        <w:autoSpaceDE/>
        <w:autoSpaceDN/>
        <w:bidi w:val="0"/>
        <w:adjustRightInd/>
        <w:snapToGrid/>
        <w:spacing w:after="0" w:line="560" w:lineRule="exact"/>
        <w:ind w:left="0" w:firstLine="640" w:firstLineChars="200"/>
        <w:textAlignment w:val="auto"/>
        <w:rPr>
          <w:rFonts w:hint="eastAsia" w:eastAsia="仿宋_GB2312"/>
          <w:sz w:val="32"/>
          <w:szCs w:val="32"/>
        </w:rPr>
      </w:pPr>
      <w:r>
        <w:rPr>
          <w:rFonts w:hint="eastAsia" w:eastAsia="仿宋_GB2312"/>
          <w:sz w:val="32"/>
          <w:szCs w:val="32"/>
        </w:rPr>
        <w:t>11、开展环境保护科技工作，组织环境保护科学研究和技术工程示范，推动环境技术管理体系建设。</w:t>
      </w:r>
    </w:p>
    <w:p>
      <w:pPr>
        <w:keepNext w:val="0"/>
        <w:keepLines w:val="0"/>
        <w:pageBreakBefore w:val="0"/>
        <w:widowControl/>
        <w:kinsoku/>
        <w:wordWrap/>
        <w:overflowPunct/>
        <w:topLinePunct w:val="0"/>
        <w:autoSpaceDE/>
        <w:autoSpaceDN/>
        <w:bidi w:val="0"/>
        <w:adjustRightInd/>
        <w:snapToGrid/>
        <w:spacing w:after="0" w:line="560" w:lineRule="exact"/>
        <w:ind w:left="0" w:firstLine="640" w:firstLineChars="200"/>
        <w:textAlignment w:val="auto"/>
        <w:rPr>
          <w:rFonts w:hint="eastAsia" w:eastAsia="仿宋_GB2312"/>
          <w:sz w:val="32"/>
          <w:szCs w:val="32"/>
        </w:rPr>
      </w:pPr>
      <w:r>
        <w:rPr>
          <w:rFonts w:hint="eastAsia" w:eastAsia="仿宋_GB2312"/>
          <w:sz w:val="32"/>
          <w:szCs w:val="32"/>
        </w:rPr>
        <w:t>12、开展环境保护对外合作交流，研究提出国际、省际、市际间环境合作中有关问题的建议，组织协调环境保护国际条约的履约工作，参与处理涉外环境保护事务。</w:t>
      </w:r>
    </w:p>
    <w:p>
      <w:pPr>
        <w:keepNext w:val="0"/>
        <w:keepLines w:val="0"/>
        <w:pageBreakBefore w:val="0"/>
        <w:widowControl/>
        <w:kinsoku/>
        <w:wordWrap/>
        <w:overflowPunct/>
        <w:topLinePunct w:val="0"/>
        <w:autoSpaceDE/>
        <w:autoSpaceDN/>
        <w:bidi w:val="0"/>
        <w:adjustRightInd/>
        <w:snapToGrid/>
        <w:spacing w:after="0" w:line="560" w:lineRule="exact"/>
        <w:ind w:left="0" w:firstLine="640" w:firstLineChars="200"/>
        <w:textAlignment w:val="auto"/>
        <w:rPr>
          <w:rFonts w:hint="eastAsia" w:eastAsia="仿宋_GB2312"/>
          <w:sz w:val="32"/>
          <w:szCs w:val="32"/>
        </w:rPr>
      </w:pPr>
      <w:r>
        <w:rPr>
          <w:rFonts w:hint="eastAsia" w:eastAsia="仿宋_GB2312"/>
          <w:sz w:val="32"/>
          <w:szCs w:val="32"/>
        </w:rPr>
        <w:t>13、组织指导和协调环境保护宣传教育工作，制定并组织实施环境保护宣传教育纲要，开展生态文明建设和环境友好型社会建设的有关宣传教育工作，推动社会公众和社会组织参与环境保护。</w:t>
      </w:r>
    </w:p>
    <w:p>
      <w:pPr>
        <w:keepNext w:val="0"/>
        <w:keepLines w:val="0"/>
        <w:pageBreakBefore w:val="0"/>
        <w:widowControl/>
        <w:kinsoku/>
        <w:wordWrap/>
        <w:overflowPunct/>
        <w:topLinePunct w:val="0"/>
        <w:autoSpaceDE/>
        <w:autoSpaceDN/>
        <w:bidi w:val="0"/>
        <w:adjustRightInd/>
        <w:snapToGrid/>
        <w:spacing w:after="0" w:line="560" w:lineRule="exact"/>
        <w:ind w:left="0" w:firstLine="640" w:firstLineChars="200"/>
        <w:textAlignment w:val="auto"/>
        <w:rPr>
          <w:rFonts w:hint="eastAsia" w:eastAsia="仿宋_GB2312"/>
          <w:sz w:val="32"/>
          <w:szCs w:val="32"/>
        </w:rPr>
      </w:pPr>
      <w:r>
        <w:rPr>
          <w:rFonts w:hint="eastAsia" w:eastAsia="仿宋_GB2312"/>
          <w:sz w:val="32"/>
          <w:szCs w:val="32"/>
        </w:rPr>
        <w:t>14、承办市政府交办的其他事项。</w:t>
      </w:r>
    </w:p>
    <w:p>
      <w:pPr>
        <w:pStyle w:val="2"/>
        <w:spacing w:before="0" w:after="0" w:line="560" w:lineRule="exact"/>
        <w:jc w:val="left"/>
        <w:rPr>
          <w:rFonts w:ascii="黑体" w:hAnsi="Cambria" w:eastAsia="黑体" w:cs="黑体"/>
          <w:b w:val="0"/>
          <w:bCs w:val="0"/>
          <w:kern w:val="0"/>
          <w:sz w:val="32"/>
          <w:szCs w:val="32"/>
        </w:rPr>
      </w:pPr>
      <w:r>
        <w:rPr>
          <w:rFonts w:hint="eastAsia" w:ascii="黑体" w:hAnsi="Cambria" w:eastAsia="黑体" w:cs="黑体"/>
          <w:b w:val="0"/>
          <w:bCs w:val="0"/>
          <w:kern w:val="0"/>
          <w:sz w:val="32"/>
          <w:szCs w:val="32"/>
        </w:rPr>
        <w:t>二、机构设置</w:t>
      </w:r>
    </w:p>
    <w:p>
      <w:pPr>
        <w:keepNext w:val="0"/>
        <w:keepLines w:val="0"/>
        <w:pageBreakBefore w:val="0"/>
        <w:widowControl/>
        <w:kinsoku/>
        <w:wordWrap/>
        <w:overflowPunct/>
        <w:topLinePunct w:val="0"/>
        <w:autoSpaceDE/>
        <w:autoSpaceDN/>
        <w:bidi w:val="0"/>
        <w:adjustRightInd/>
        <w:snapToGrid/>
        <w:spacing w:after="0" w:line="560" w:lineRule="exact"/>
        <w:ind w:left="0" w:firstLine="640" w:firstLineChars="200"/>
        <w:textAlignment w:val="auto"/>
        <w:rPr>
          <w:rFonts w:hint="eastAsia" w:eastAsia="仿宋_GB2312"/>
          <w:sz w:val="32"/>
          <w:szCs w:val="32"/>
        </w:rPr>
      </w:pPr>
      <w:r>
        <w:rPr>
          <w:rFonts w:hint="eastAsia" w:eastAsia="仿宋_GB2312"/>
          <w:sz w:val="32"/>
          <w:szCs w:val="32"/>
        </w:rPr>
        <w:t>从决算编报单位构成看，纳入2018年度本部门决算汇编范围的独立核算单位（以下简称“单位”）共21个，具体情况如下：</w:t>
      </w:r>
    </w:p>
    <w:tbl>
      <w:tblPr>
        <w:tblStyle w:val="12"/>
        <w:tblW w:w="9958" w:type="dxa"/>
        <w:jc w:val="center"/>
        <w:tblLayout w:type="fixed"/>
        <w:tblCellMar>
          <w:top w:w="15" w:type="dxa"/>
          <w:left w:w="15" w:type="dxa"/>
          <w:bottom w:w="15" w:type="dxa"/>
          <w:right w:w="15" w:type="dxa"/>
        </w:tblCellMar>
      </w:tblPr>
      <w:tblGrid>
        <w:gridCol w:w="674"/>
        <w:gridCol w:w="4703"/>
        <w:gridCol w:w="1371"/>
        <w:gridCol w:w="1605"/>
        <w:gridCol w:w="1605"/>
      </w:tblGrid>
      <w:tr>
        <w:tblPrEx>
          <w:tblCellMar>
            <w:top w:w="15" w:type="dxa"/>
            <w:left w:w="15" w:type="dxa"/>
            <w:bottom w:w="15" w:type="dxa"/>
            <w:right w:w="15" w:type="dxa"/>
          </w:tblCellMar>
        </w:tblPrEx>
        <w:trPr>
          <w:trHeight w:val="570" w:hRule="atLeast"/>
          <w:jc w:val="center"/>
        </w:trPr>
        <w:tc>
          <w:tcPr>
            <w:tcW w:w="9958" w:type="dxa"/>
            <w:gridSpan w:val="5"/>
            <w:shd w:val="clear" w:color="auto" w:fill="auto"/>
            <w:vAlign w:val="bottom"/>
          </w:tcPr>
          <w:p>
            <w:pPr>
              <w:widowControl/>
              <w:jc w:val="center"/>
              <w:textAlignment w:val="bottom"/>
              <w:rPr>
                <w:rFonts w:ascii="宋体" w:hAnsi="宋体" w:cs="宋体"/>
                <w:color w:val="000000"/>
                <w:sz w:val="32"/>
                <w:szCs w:val="32"/>
              </w:rPr>
            </w:pPr>
            <w:r>
              <w:rPr>
                <w:rFonts w:hint="eastAsia" w:ascii="宋体" w:hAnsi="宋体" w:cs="宋体"/>
                <w:color w:val="000000"/>
                <w:kern w:val="0"/>
                <w:sz w:val="32"/>
                <w:szCs w:val="32"/>
              </w:rPr>
              <w:t>部门机构设置情况</w:t>
            </w:r>
          </w:p>
        </w:tc>
      </w:tr>
      <w:tr>
        <w:tblPrEx>
          <w:tblCellMar>
            <w:top w:w="15" w:type="dxa"/>
            <w:left w:w="15" w:type="dxa"/>
            <w:bottom w:w="15" w:type="dxa"/>
            <w:right w:w="15" w:type="dxa"/>
          </w:tblCellMar>
        </w:tblPrEx>
        <w:trPr>
          <w:trHeight w:val="581"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b/>
                <w:color w:val="000000"/>
                <w:sz w:val="22"/>
                <w:szCs w:val="22"/>
              </w:rPr>
            </w:pPr>
            <w:r>
              <w:rPr>
                <w:rFonts w:ascii="Microsoft Sans Serif" w:hAnsi="Microsoft Sans Serif" w:eastAsia="Microsoft Sans Serif" w:cs="Microsoft Sans Serif"/>
                <w:b/>
                <w:color w:val="000000"/>
                <w:kern w:val="0"/>
                <w:sz w:val="22"/>
                <w:szCs w:val="22"/>
              </w:rPr>
              <w:t>序号</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b/>
                <w:color w:val="000000"/>
                <w:sz w:val="22"/>
                <w:szCs w:val="22"/>
              </w:rPr>
            </w:pPr>
            <w:r>
              <w:rPr>
                <w:rFonts w:ascii="Microsoft Sans Serif" w:hAnsi="Microsoft Sans Serif" w:eastAsia="Microsoft Sans Serif" w:cs="Microsoft Sans Serif"/>
                <w:b/>
                <w:color w:val="000000"/>
                <w:kern w:val="0"/>
                <w:sz w:val="22"/>
                <w:szCs w:val="22"/>
              </w:rPr>
              <w:t>单位名称</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b/>
                <w:color w:val="000000"/>
                <w:sz w:val="22"/>
                <w:szCs w:val="22"/>
              </w:rPr>
            </w:pPr>
            <w:r>
              <w:rPr>
                <w:rFonts w:ascii="Microsoft Sans Serif" w:hAnsi="Microsoft Sans Serif" w:eastAsia="Microsoft Sans Serif" w:cs="Microsoft Sans Serif"/>
                <w:b/>
                <w:color w:val="000000"/>
                <w:kern w:val="0"/>
                <w:sz w:val="22"/>
                <w:szCs w:val="22"/>
              </w:rPr>
              <w:t>单位性质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b/>
                <w:color w:val="000000"/>
                <w:sz w:val="22"/>
                <w:szCs w:val="22"/>
              </w:rPr>
            </w:pPr>
            <w:r>
              <w:rPr>
                <w:rFonts w:ascii="Microsoft Sans Serif" w:hAnsi="Microsoft Sans Serif" w:eastAsia="Microsoft Sans Serif" w:cs="Microsoft Sans Serif"/>
                <w:b/>
                <w:color w:val="000000"/>
                <w:kern w:val="0"/>
                <w:sz w:val="22"/>
                <w:szCs w:val="22"/>
              </w:rPr>
              <w:t>单位规格</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经费保障形式</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Cambria" w:eastAsia="仿宋_GB2312" w:cs="ArialUnicodeMS"/>
                <w:kern w:val="0"/>
                <w:sz w:val="24"/>
              </w:rPr>
            </w:pPr>
            <w:r>
              <w:rPr>
                <w:rFonts w:ascii="仿宋_GB2312" w:hAnsi="Cambria" w:eastAsia="仿宋_GB2312" w:cs="ArialUnicodeMS"/>
                <w:kern w:val="0"/>
                <w:sz w:val="24"/>
              </w:rPr>
              <w:t>1</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Cambria" w:eastAsia="仿宋_GB2312" w:cs="ArialUnicodeMS"/>
                <w:kern w:val="0"/>
                <w:sz w:val="24"/>
              </w:rPr>
            </w:pPr>
            <w:r>
              <w:rPr>
                <w:rFonts w:ascii="仿宋_GB2312" w:hAnsi="Cambria" w:eastAsia="仿宋_GB2312" w:cs="ArialUnicodeMS"/>
                <w:kern w:val="0"/>
                <w:sz w:val="24"/>
              </w:rPr>
              <w:t>唐山市</w:t>
            </w:r>
            <w:r>
              <w:rPr>
                <w:rFonts w:hint="eastAsia" w:ascii="仿宋_GB2312" w:hAnsi="Cambria" w:eastAsia="仿宋_GB2312" w:cs="ArialUnicodeMS"/>
                <w:kern w:val="0"/>
                <w:sz w:val="24"/>
                <w:lang w:eastAsia="zh-CN"/>
              </w:rPr>
              <w:t>环境保护</w:t>
            </w:r>
            <w:r>
              <w:rPr>
                <w:rFonts w:ascii="仿宋_GB2312" w:hAnsi="Cambria" w:eastAsia="仿宋_GB2312" w:cs="ArialUnicodeMS"/>
                <w:kern w:val="0"/>
                <w:sz w:val="24"/>
              </w:rPr>
              <w:t>局</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Cambria" w:eastAsia="仿宋_GB2312" w:cs="ArialUnicodeMS"/>
                <w:kern w:val="0"/>
                <w:sz w:val="24"/>
              </w:rPr>
            </w:pPr>
            <w:r>
              <w:rPr>
                <w:rFonts w:ascii="仿宋_GB2312" w:hAnsi="Cambria" w:eastAsia="仿宋_GB2312" w:cs="ArialUnicodeMS"/>
                <w:kern w:val="0"/>
                <w:sz w:val="24"/>
              </w:rPr>
              <w:t>行政机关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Cambria" w:eastAsia="仿宋_GB2312" w:cs="ArialUnicodeMS"/>
                <w:kern w:val="0"/>
                <w:sz w:val="24"/>
              </w:rPr>
            </w:pPr>
            <w:r>
              <w:rPr>
                <w:rFonts w:ascii="仿宋_GB2312" w:hAnsi="Cambria" w:eastAsia="仿宋_GB2312" w:cs="ArialUnicodeMS"/>
                <w:kern w:val="0"/>
                <w:sz w:val="24"/>
              </w:rPr>
              <w:t>正县级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Cambria" w:eastAsia="仿宋_GB2312" w:cs="ArialUnicodeMS"/>
                <w:kern w:val="0"/>
                <w:sz w:val="24"/>
              </w:rPr>
            </w:pPr>
            <w:r>
              <w:rPr>
                <w:rFonts w:ascii="仿宋_GB2312" w:hAnsi="Cambria" w:eastAsia="仿宋_GB2312" w:cs="ArialUnicodeMS"/>
                <w:kern w:val="0"/>
                <w:sz w:val="24"/>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Cambria" w:eastAsia="仿宋_GB2312" w:cs="ArialUnicodeMS"/>
                <w:kern w:val="0"/>
                <w:sz w:val="24"/>
              </w:rPr>
            </w:pPr>
            <w:r>
              <w:rPr>
                <w:rFonts w:hint="eastAsia" w:ascii="仿宋_GB2312" w:hAnsi="Cambria" w:eastAsia="仿宋_GB2312" w:cs="ArialUnicodeMS"/>
                <w:kern w:val="0"/>
                <w:sz w:val="24"/>
              </w:rPr>
              <w:t>2</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Cambria" w:eastAsia="仿宋_GB2312" w:cs="ArialUnicodeMS"/>
                <w:kern w:val="0"/>
                <w:sz w:val="24"/>
              </w:rPr>
            </w:pPr>
            <w:r>
              <w:rPr>
                <w:rFonts w:ascii="仿宋_GB2312" w:hAnsi="Cambria" w:eastAsia="仿宋_GB2312" w:cs="ArialUnicodeMS"/>
                <w:kern w:val="0"/>
                <w:sz w:val="24"/>
              </w:rPr>
              <w:t>唐山市环境保护局路南区分局</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Cambria" w:eastAsia="仿宋_GB2312" w:cs="ArialUnicodeMS"/>
                <w:kern w:val="0"/>
                <w:sz w:val="24"/>
              </w:rPr>
            </w:pPr>
            <w:r>
              <w:rPr>
                <w:rFonts w:ascii="仿宋_GB2312" w:hAnsi="Cambria" w:eastAsia="仿宋_GB2312" w:cs="ArialUnicodeMS"/>
                <w:kern w:val="0"/>
                <w:sz w:val="24"/>
              </w:rPr>
              <w:t>参公单位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Cambria" w:eastAsia="仿宋_GB2312" w:cs="ArialUnicodeMS"/>
                <w:kern w:val="0"/>
                <w:sz w:val="24"/>
              </w:rPr>
            </w:pPr>
            <w:r>
              <w:rPr>
                <w:rFonts w:ascii="仿宋_GB2312" w:hAnsi="Cambria" w:eastAsia="仿宋_GB2312" w:cs="ArialUnicodeMS"/>
                <w:kern w:val="0"/>
                <w:sz w:val="24"/>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Cambria" w:eastAsia="仿宋_GB2312" w:cs="ArialUnicodeMS"/>
                <w:kern w:val="0"/>
                <w:sz w:val="24"/>
              </w:rPr>
            </w:pPr>
            <w:r>
              <w:rPr>
                <w:rFonts w:ascii="仿宋_GB2312" w:hAnsi="Cambria" w:eastAsia="仿宋_GB2312" w:cs="ArialUnicodeMS"/>
                <w:kern w:val="0"/>
                <w:sz w:val="24"/>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3</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唐山市环境保护局路北区分局</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参公单位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4</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唐山市环境保护局古冶区分局</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参公单位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5</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唐山市环境保护局开平区分局</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参公单位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6</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唐山市环境保护局丰润区分局</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参公单位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7</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唐山市环境监控中心</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8</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唐山市环境保护局高新技术产业开发区分局</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9</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唐山市环境保护局海港经济开发区分局</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10</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唐山市环境保护局唐山国际旅游岛分局</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11</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唐山市环境保护局芦台经济开发区分局</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12</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唐山市环境保护局汉沽管理区分局</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13</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唐山市环境保护局丰南区分局机关</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行政机关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14</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唐山市环境保护局遵化市分局机关</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行政机关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15</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唐山市环境保护局迁安市分局机关</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行政机关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16</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唐山市环境保护局曹妃甸区分局机关</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行政机关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副县级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17</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唐山市环境保护局玉田县分局机关</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行政机关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18</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唐山市环境保护局乐亭县分局机关</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行政机关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19</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唐山市环境保护局滦县分局机关</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行政机关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20</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唐山市环境保护局滦南县分局机关</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行政机关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21</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唐山市环境保护局迁西县分局机关</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行政机关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Microsoft Sans Serif" w:eastAsia="仿宋_GB2312" w:cs="Microsoft Sans Serif"/>
                <w:color w:val="000000"/>
                <w:sz w:val="24"/>
              </w:rPr>
            </w:pPr>
            <w:r>
              <w:rPr>
                <w:rFonts w:hint="eastAsia" w:ascii="仿宋_GB2312" w:hAnsi="Microsoft Sans Serif" w:eastAsia="仿宋_GB2312" w:cs="Microsoft Sans Serif"/>
                <w:color w:val="000000"/>
                <w:kern w:val="0"/>
                <w:sz w:val="24"/>
              </w:rPr>
              <w:t>财政拨款</w:t>
            </w:r>
          </w:p>
        </w:tc>
      </w:tr>
    </w:tbl>
    <w:tbl>
      <w:tblPr>
        <w:tblStyle w:val="13"/>
        <w:tblpPr w:leftFromText="180" w:rightFromText="180" w:vertAnchor="text" w:horzAnchor="page" w:tblpXSpec="center" w:tblpY="10"/>
        <w:tblOverlap w:val="never"/>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464" w:type="dxa"/>
            <w:tcBorders>
              <w:top w:val="single" w:color="auto" w:sz="4" w:space="0"/>
              <w:left w:val="nil"/>
              <w:bottom w:val="nil"/>
              <w:right w:val="nil"/>
            </w:tcBorders>
          </w:tcPr>
          <w:p>
            <w:pPr>
              <w:spacing w:after="0" w:line="560" w:lineRule="exact"/>
              <w:jc w:val="left"/>
              <w:rPr>
                <w:rFonts w:ascii="仿宋_GB2312" w:hAnsi="Cambria" w:eastAsia="仿宋_GB2312" w:cs="ArialUnicodeMS"/>
                <w:kern w:val="0"/>
                <w:sz w:val="28"/>
                <w:szCs w:val="28"/>
              </w:rPr>
            </w:pPr>
            <w:r>
              <w:rPr>
                <w:rFonts w:hint="eastAsia" w:ascii="仿宋_GB2312" w:hAnsi="Cambria" w:eastAsia="仿宋_GB2312" w:cs="ArialUnicodeMS"/>
                <w:kern w:val="0"/>
                <w:sz w:val="28"/>
                <w:szCs w:val="28"/>
              </w:rPr>
              <w:t>注：1、单位基本性质分为行政单位、参公事业单位、财政补助事业单位、经费自理事业单位四类。</w:t>
            </w:r>
          </w:p>
          <w:p>
            <w:pPr>
              <w:spacing w:after="0" w:line="560" w:lineRule="exact"/>
              <w:ind w:firstLine="560" w:firstLineChars="200"/>
              <w:jc w:val="left"/>
              <w:rPr>
                <w:rFonts w:ascii="仿宋_GB2312" w:hAnsi="Cambria" w:eastAsia="仿宋_GB2312" w:cs="ArialUnicodeMS"/>
                <w:kern w:val="0"/>
                <w:sz w:val="28"/>
                <w:szCs w:val="28"/>
              </w:rPr>
            </w:pPr>
            <w:r>
              <w:rPr>
                <w:rFonts w:hint="eastAsia" w:ascii="仿宋_GB2312" w:hAnsi="Cambria" w:eastAsia="仿宋_GB2312" w:cs="ArialUnicodeMS"/>
                <w:kern w:val="0"/>
                <w:sz w:val="28"/>
                <w:szCs w:val="28"/>
              </w:rPr>
              <w:t>2、经费形式分为财政拨款、财政性资金基本保证、财政性资金定额或定项补助、财政性资金零补助四类。</w:t>
            </w:r>
          </w:p>
        </w:tc>
      </w:tr>
    </w:tbl>
    <w:p>
      <w:pPr>
        <w:spacing w:after="0" w:line="560" w:lineRule="exact"/>
        <w:rPr>
          <w:rFonts w:ascii="仿宋_GB2312" w:hAnsi="Cambria" w:eastAsia="仿宋_GB2312" w:cs="ArialUnicodeMS"/>
          <w:kern w:val="0"/>
          <w:sz w:val="32"/>
          <w:szCs w:val="32"/>
        </w:rPr>
      </w:pPr>
    </w:p>
    <w:p>
      <w:pPr>
        <w:widowControl/>
        <w:spacing w:line="560" w:lineRule="exact"/>
        <w:jc w:val="center"/>
        <w:rPr>
          <w:rFonts w:ascii="黑体" w:hAnsi="Cambria" w:eastAsia="黑体" w:cs="MS-UIGothic,Bold"/>
          <w:bCs/>
          <w:kern w:val="0"/>
          <w:sz w:val="52"/>
          <w:szCs w:val="52"/>
        </w:rPr>
      </w:pPr>
    </w:p>
    <w:p>
      <w:pPr>
        <w:widowControl/>
        <w:spacing w:line="560" w:lineRule="exact"/>
        <w:jc w:val="center"/>
        <w:rPr>
          <w:rFonts w:ascii="黑体" w:hAnsi="Cambria" w:eastAsia="黑体" w:cs="MS-UIGothic,Bold"/>
          <w:bCs/>
          <w:kern w:val="0"/>
          <w:sz w:val="52"/>
          <w:szCs w:val="52"/>
        </w:rPr>
        <w:sectPr>
          <w:pgSz w:w="11906" w:h="16838"/>
          <w:pgMar w:top="2098" w:right="1474" w:bottom="1984" w:left="1588" w:header="851" w:footer="992" w:gutter="0"/>
          <w:cols w:space="0" w:num="1"/>
          <w:docGrid w:type="lines" w:linePitch="312" w:charSpace="0"/>
        </w:sectPr>
      </w:pPr>
    </w:p>
    <w:p>
      <w:pPr>
        <w:widowControl/>
        <w:spacing w:line="560" w:lineRule="exact"/>
        <w:jc w:val="center"/>
        <w:rPr>
          <w:rFonts w:ascii="黑体" w:hAnsi="Cambria" w:eastAsia="黑体" w:cs="MS-UIGothic,Bold"/>
          <w:bCs/>
          <w:kern w:val="0"/>
          <w:sz w:val="52"/>
          <w:szCs w:val="52"/>
        </w:rPr>
      </w:pPr>
      <w:r>
        <w:rPr>
          <w:rFonts w:hint="eastAsia" w:ascii="宋体" w:hAnsi="宋体" w:cs="ArialUnicodeMS"/>
          <w:color w:val="000000"/>
          <w:kern w:val="0"/>
        </w:rPr>
        <w:drawing>
          <wp:anchor distT="0" distB="0" distL="0" distR="0" simplePos="0" relativeHeight="251661312" behindDoc="1" locked="0" layoutInCell="1" allowOverlap="1">
            <wp:simplePos x="0" y="0"/>
            <wp:positionH relativeFrom="column">
              <wp:posOffset>-1023620</wp:posOffset>
            </wp:positionH>
            <wp:positionV relativeFrom="paragraph">
              <wp:posOffset>-1327150</wp:posOffset>
            </wp:positionV>
            <wp:extent cx="7571105" cy="10680065"/>
            <wp:effectExtent l="0" t="0" r="10795" b="6985"/>
            <wp:wrapNone/>
            <wp:docPr id="1039" name="图片 16"/>
            <wp:cNvGraphicFramePr/>
            <a:graphic xmlns:a="http://schemas.openxmlformats.org/drawingml/2006/main">
              <a:graphicData uri="http://schemas.openxmlformats.org/drawingml/2006/picture">
                <pic:pic xmlns:pic="http://schemas.openxmlformats.org/drawingml/2006/picture">
                  <pic:nvPicPr>
                    <pic:cNvPr id="1039" name="图片 16"/>
                    <pic:cNvPicPr/>
                  </pic:nvPicPr>
                  <pic:blipFill>
                    <a:blip r:embed="rId12" cstate="print"/>
                    <a:srcRect/>
                    <a:stretch>
                      <a:fillRect/>
                    </a:stretch>
                  </pic:blipFill>
                  <pic:spPr>
                    <a:xfrm>
                      <a:off x="0" y="0"/>
                      <a:ext cx="7571105" cy="10680065"/>
                    </a:xfrm>
                    <a:prstGeom prst="rect">
                      <a:avLst/>
                    </a:prstGeom>
                  </pic:spPr>
                </pic:pic>
              </a:graphicData>
            </a:graphic>
          </wp:anchor>
        </w:drawing>
      </w:r>
    </w:p>
    <w:p>
      <w:pPr>
        <w:widowControl/>
        <w:spacing w:line="560" w:lineRule="exact"/>
        <w:jc w:val="center"/>
        <w:rPr>
          <w:rFonts w:ascii="黑体" w:hAnsi="Cambria" w:eastAsia="黑体" w:cs="MS-UIGothic,Bold"/>
          <w:bCs/>
          <w:kern w:val="0"/>
          <w:sz w:val="52"/>
          <w:szCs w:val="52"/>
        </w:rPr>
      </w:pPr>
    </w:p>
    <w:p>
      <w:pPr>
        <w:rPr>
          <w:rFonts w:ascii="宋体" w:hAnsi="宋体" w:cs="ArialUnicodeMS"/>
          <w:color w:val="000000"/>
          <w:kern w:val="0"/>
        </w:rPr>
      </w:pPr>
    </w:p>
    <w:p>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r>
        <w:rPr>
          <w:sz w:val="72"/>
        </w:rPr>
        <mc:AlternateContent>
          <mc:Choice Requires="wps">
            <w:drawing>
              <wp:anchor distT="0" distB="0" distL="114300" distR="114300" simplePos="0" relativeHeight="251666432" behindDoc="0" locked="0" layoutInCell="1" allowOverlap="1">
                <wp:simplePos x="0" y="0"/>
                <wp:positionH relativeFrom="column">
                  <wp:posOffset>-942340</wp:posOffset>
                </wp:positionH>
                <wp:positionV relativeFrom="paragraph">
                  <wp:posOffset>1527810</wp:posOffset>
                </wp:positionV>
                <wp:extent cx="7571740" cy="2020570"/>
                <wp:effectExtent l="0" t="0" r="1270" b="3175"/>
                <wp:wrapNone/>
                <wp:docPr id="1142" name="1040"/>
                <wp:cNvGraphicFramePr/>
                <a:graphic xmlns:a="http://schemas.openxmlformats.org/drawingml/2006/main">
                  <a:graphicData uri="http://schemas.microsoft.com/office/word/2010/wordprocessingShape">
                    <wps:wsp>
                      <wps:cNvSpPr>
                        <a:spLocks noChangeArrowheads="1"/>
                      </wps:cNvSpPr>
                      <wps:spPr bwMode="auto">
                        <a:xfrm>
                          <a:off x="0" y="0"/>
                          <a:ext cx="7571740" cy="2020570"/>
                        </a:xfrm>
                        <a:prstGeom prst="rect">
                          <a:avLst/>
                        </a:prstGeom>
                        <a:noFill/>
                        <a:ln>
                          <a:noFill/>
                        </a:ln>
                      </wps:spPr>
                      <wps:txbx>
                        <w:txbxContent>
                          <w:p>
                            <w:pPr>
                              <w:widowControl/>
                              <w:spacing w:line="1200" w:lineRule="exact"/>
                              <w:jc w:val="center"/>
                              <w:rPr>
                                <w:rFonts w:ascii="黑体" w:hAnsi="宋体" w:eastAsia="黑体"/>
                                <w:color w:val="FDEFBE"/>
                                <w:sz w:val="96"/>
                                <w:szCs w:val="96"/>
                              </w:rPr>
                            </w:pPr>
                            <w:r>
                              <w:rPr>
                                <w:rFonts w:hint="eastAsia" w:ascii="黑体" w:hAnsi="宋体" w:eastAsia="黑体"/>
                                <w:color w:val="FDEFBE"/>
                                <w:sz w:val="96"/>
                                <w:szCs w:val="96"/>
                              </w:rPr>
                              <w:t>第二部分</w:t>
                            </w:r>
                          </w:p>
                          <w:p>
                            <w:pPr>
                              <w:widowControl/>
                              <w:spacing w:line="1200" w:lineRule="exact"/>
                              <w:jc w:val="center"/>
                              <w:rPr>
                                <w:color w:val="FDEFBE"/>
                                <w:sz w:val="96"/>
                                <w:szCs w:val="96"/>
                              </w:rPr>
                            </w:pPr>
                            <w:r>
                              <w:rPr>
                                <w:rFonts w:hint="eastAsia" w:ascii="黑体" w:hAnsi="宋体" w:eastAsia="黑体"/>
                                <w:color w:val="FDEFBE"/>
                                <w:sz w:val="96"/>
                                <w:szCs w:val="96"/>
                              </w:rPr>
                              <w:t>2018年度部门决算报表</w:t>
                            </w:r>
                          </w:p>
                        </w:txbxContent>
                      </wps:txbx>
                      <wps:bodyPr rot="0" vert="horz" wrap="square" lIns="91440" tIns="45720" rIns="91440" bIns="45720" anchor="t" anchorCtr="0" upright="1">
                        <a:noAutofit/>
                      </wps:bodyPr>
                    </wps:wsp>
                  </a:graphicData>
                </a:graphic>
              </wp:anchor>
            </w:drawing>
          </mc:Choice>
          <mc:Fallback>
            <w:pict>
              <v:rect id="1040" o:spid="_x0000_s1026" o:spt="1" style="position:absolute;left:0pt;margin-left:-74.2pt;margin-top:120.3pt;height:159.1pt;width:596.2pt;z-index:251666432;mso-width-relative:page;mso-height-relative:page;" filled="f" stroked="f" coordsize="21600,21600" o:gfxdata="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&#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r63RS3QAAAA0BAAAPAAAAAAAAAAEAIAAAACIAAABk&#10;cnMvZG93bnJldi54bWxQSwECFAAUAAAACACHTuJASIlrKgECAAAIBAAADgAAAAAAAAABACAAAAAs&#10;AQAAZHJzL2Uyb0RvYy54bWxQSwUGAAAAAAYABgBZAQAAnwUAAAAA&#10;">
                <v:fill on="f" focussize="0,0"/>
                <v:stroke on="f"/>
                <v:imagedata o:title=""/>
                <o:lock v:ext="edit" aspectratio="f"/>
                <v:textbox>
                  <w:txbxContent>
                    <w:p>
                      <w:pPr>
                        <w:widowControl/>
                        <w:spacing w:line="1200" w:lineRule="exact"/>
                        <w:jc w:val="center"/>
                        <w:rPr>
                          <w:rFonts w:ascii="黑体" w:hAnsi="宋体" w:eastAsia="黑体"/>
                          <w:color w:val="FDEFBE"/>
                          <w:sz w:val="96"/>
                          <w:szCs w:val="96"/>
                        </w:rPr>
                      </w:pPr>
                      <w:r>
                        <w:rPr>
                          <w:rFonts w:hint="eastAsia" w:ascii="黑体" w:hAnsi="宋体" w:eastAsia="黑体"/>
                          <w:color w:val="FDEFBE"/>
                          <w:sz w:val="96"/>
                          <w:szCs w:val="96"/>
                        </w:rPr>
                        <w:t>第二部分</w:t>
                      </w:r>
                    </w:p>
                    <w:p>
                      <w:pPr>
                        <w:widowControl/>
                        <w:spacing w:line="1200" w:lineRule="exact"/>
                        <w:jc w:val="center"/>
                        <w:rPr>
                          <w:color w:val="FDEFBE"/>
                          <w:sz w:val="96"/>
                          <w:szCs w:val="96"/>
                        </w:rPr>
                      </w:pPr>
                      <w:r>
                        <w:rPr>
                          <w:rFonts w:hint="eastAsia" w:ascii="黑体" w:hAnsi="宋体" w:eastAsia="黑体"/>
                          <w:color w:val="FDEFBE"/>
                          <w:sz w:val="96"/>
                          <w:szCs w:val="96"/>
                        </w:rPr>
                        <w:t>2018年度部门决算报表</w:t>
                      </w:r>
                    </w:p>
                  </w:txbxContent>
                </v:textbox>
              </v:rect>
            </w:pict>
          </mc:Fallback>
        </mc:AlternateContent>
      </w:r>
    </w:p>
    <w:tbl>
      <w:tblPr>
        <w:tblStyle w:val="12"/>
        <w:tblW w:w="9060" w:type="dxa"/>
        <w:tblInd w:w="0" w:type="dxa"/>
        <w:tblLayout w:type="fixed"/>
        <w:tblCellMar>
          <w:top w:w="0" w:type="dxa"/>
          <w:left w:w="108" w:type="dxa"/>
          <w:bottom w:w="0" w:type="dxa"/>
          <w:right w:w="108" w:type="dxa"/>
        </w:tblCellMar>
      </w:tblPr>
      <w:tblGrid>
        <w:gridCol w:w="2196"/>
        <w:gridCol w:w="576"/>
        <w:gridCol w:w="1679"/>
        <w:gridCol w:w="2557"/>
        <w:gridCol w:w="576"/>
        <w:gridCol w:w="1476"/>
      </w:tblGrid>
      <w:tr>
        <w:tblPrEx>
          <w:tblCellMar>
            <w:top w:w="0" w:type="dxa"/>
            <w:left w:w="108" w:type="dxa"/>
            <w:bottom w:w="0" w:type="dxa"/>
            <w:right w:w="108" w:type="dxa"/>
          </w:tblCellMar>
        </w:tblPrEx>
        <w:trPr>
          <w:trHeight w:val="384" w:hRule="atLeast"/>
        </w:trPr>
        <w:tc>
          <w:tcPr>
            <w:tcW w:w="9060" w:type="dxa"/>
            <w:gridSpan w:val="6"/>
            <w:tcBorders>
              <w:top w:val="nil"/>
              <w:left w:val="nil"/>
              <w:bottom w:val="nil"/>
              <w:right w:val="nil"/>
            </w:tcBorders>
            <w:shd w:val="clear" w:color="auto" w:fill="auto"/>
            <w:noWrap/>
            <w:vAlign w:val="center"/>
          </w:tcPr>
          <w:p>
            <w:pPr>
              <w:widowControl/>
              <w:spacing w:after="0" w:line="240" w:lineRule="auto"/>
              <w:jc w:val="center"/>
              <w:rPr>
                <w:rFonts w:eastAsia="Times New Roman"/>
                <w:b/>
                <w:bCs/>
                <w:kern w:val="0"/>
                <w:sz w:val="30"/>
                <w:szCs w:val="30"/>
              </w:rPr>
            </w:pPr>
            <w:r>
              <w:rPr>
                <w:rFonts w:hint="eastAsia" w:ascii="宋体" w:hAnsi="宋体" w:cs="Arial"/>
                <w:b/>
                <w:bCs/>
                <w:color w:val="000000"/>
                <w:kern w:val="0"/>
                <w:sz w:val="30"/>
                <w:szCs w:val="30"/>
              </w:rPr>
              <w:t>收入支出决算总表</w:t>
            </w:r>
          </w:p>
        </w:tc>
      </w:tr>
      <w:tr>
        <w:tblPrEx>
          <w:tblCellMar>
            <w:top w:w="0" w:type="dxa"/>
            <w:left w:w="108" w:type="dxa"/>
            <w:bottom w:w="0" w:type="dxa"/>
            <w:right w:w="108" w:type="dxa"/>
          </w:tblCellMar>
        </w:tblPrEx>
        <w:trPr>
          <w:trHeight w:val="264" w:hRule="atLeast"/>
        </w:trPr>
        <w:tc>
          <w:tcPr>
            <w:tcW w:w="2196"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576"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679"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2557"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576"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476" w:type="dxa"/>
            <w:tcBorders>
              <w:top w:val="nil"/>
              <w:left w:val="nil"/>
              <w:bottom w:val="nil"/>
              <w:right w:val="nil"/>
            </w:tcBorders>
            <w:shd w:val="clear" w:color="auto" w:fill="auto"/>
            <w:noWrap/>
            <w:vAlign w:val="bottom"/>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公开01表</w:t>
            </w:r>
          </w:p>
        </w:tc>
      </w:tr>
      <w:tr>
        <w:tblPrEx>
          <w:tblCellMar>
            <w:top w:w="0" w:type="dxa"/>
            <w:left w:w="108" w:type="dxa"/>
            <w:bottom w:w="0" w:type="dxa"/>
            <w:right w:w="108" w:type="dxa"/>
          </w:tblCellMar>
        </w:tblPrEx>
        <w:trPr>
          <w:trHeight w:val="264" w:hRule="atLeast"/>
        </w:trPr>
        <w:tc>
          <w:tcPr>
            <w:tcW w:w="4451" w:type="dxa"/>
            <w:gridSpan w:val="3"/>
            <w:tcBorders>
              <w:top w:val="nil"/>
              <w:left w:val="nil"/>
              <w:bottom w:val="nil"/>
              <w:right w:val="nil"/>
            </w:tcBorders>
            <w:shd w:val="clear" w:color="auto" w:fill="auto"/>
            <w:noWrap/>
            <w:vAlign w:val="bottom"/>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部门：唐山市环境保护局系统（汇总）</w:t>
            </w:r>
          </w:p>
        </w:tc>
        <w:tc>
          <w:tcPr>
            <w:tcW w:w="2557" w:type="dxa"/>
            <w:tcBorders>
              <w:top w:val="nil"/>
              <w:left w:val="nil"/>
              <w:bottom w:val="nil"/>
              <w:right w:val="nil"/>
            </w:tcBorders>
            <w:shd w:val="clear" w:color="auto" w:fill="auto"/>
            <w:noWrap/>
            <w:vAlign w:val="bottom"/>
          </w:tcPr>
          <w:p>
            <w:pPr>
              <w:widowControl/>
              <w:spacing w:after="0" w:line="240" w:lineRule="auto"/>
              <w:jc w:val="left"/>
              <w:rPr>
                <w:rFonts w:ascii="宋体" w:hAnsi="宋体" w:cs="Arial"/>
                <w:color w:val="000000"/>
                <w:kern w:val="0"/>
                <w:sz w:val="18"/>
                <w:szCs w:val="18"/>
              </w:rPr>
            </w:pPr>
          </w:p>
        </w:tc>
        <w:tc>
          <w:tcPr>
            <w:tcW w:w="576"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476" w:type="dxa"/>
            <w:tcBorders>
              <w:top w:val="nil"/>
              <w:left w:val="nil"/>
              <w:bottom w:val="nil"/>
              <w:right w:val="nil"/>
            </w:tcBorders>
            <w:shd w:val="clear" w:color="auto" w:fill="auto"/>
            <w:noWrap/>
            <w:vAlign w:val="bottom"/>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金额单位：万元</w:t>
            </w:r>
          </w:p>
        </w:tc>
      </w:tr>
      <w:tr>
        <w:tblPrEx>
          <w:tblCellMar>
            <w:top w:w="0" w:type="dxa"/>
            <w:left w:w="108" w:type="dxa"/>
            <w:bottom w:w="0" w:type="dxa"/>
            <w:right w:w="108" w:type="dxa"/>
          </w:tblCellMar>
        </w:tblPrEx>
        <w:trPr>
          <w:trHeight w:val="309" w:hRule="atLeast"/>
        </w:trPr>
        <w:tc>
          <w:tcPr>
            <w:tcW w:w="4451"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收入</w:t>
            </w:r>
          </w:p>
        </w:tc>
        <w:tc>
          <w:tcPr>
            <w:tcW w:w="4609" w:type="dxa"/>
            <w:gridSpan w:val="3"/>
            <w:tcBorders>
              <w:top w:val="single" w:color="000000" w:sz="4" w:space="0"/>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支出</w:t>
            </w:r>
          </w:p>
        </w:tc>
      </w:tr>
      <w:tr>
        <w:tblPrEx>
          <w:tblCellMar>
            <w:top w:w="0" w:type="dxa"/>
            <w:left w:w="108" w:type="dxa"/>
            <w:bottom w:w="0" w:type="dxa"/>
            <w:right w:w="108" w:type="dxa"/>
          </w:tblCellMar>
        </w:tblPrEx>
        <w:trPr>
          <w:trHeight w:val="309" w:hRule="atLeast"/>
        </w:trPr>
        <w:tc>
          <w:tcPr>
            <w:tcW w:w="2196"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57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679"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金额</w:t>
            </w:r>
          </w:p>
        </w:tc>
        <w:tc>
          <w:tcPr>
            <w:tcW w:w="2557"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57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47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金额</w:t>
            </w:r>
          </w:p>
        </w:tc>
      </w:tr>
      <w:tr>
        <w:tblPrEx>
          <w:tblCellMar>
            <w:top w:w="0" w:type="dxa"/>
            <w:left w:w="108" w:type="dxa"/>
            <w:bottom w:w="0" w:type="dxa"/>
            <w:right w:w="108" w:type="dxa"/>
          </w:tblCellMar>
        </w:tblPrEx>
        <w:trPr>
          <w:trHeight w:val="309" w:hRule="atLeast"/>
        </w:trPr>
        <w:tc>
          <w:tcPr>
            <w:tcW w:w="2196"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57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679"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557"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57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47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2</w:t>
            </w:r>
          </w:p>
        </w:tc>
      </w:tr>
      <w:tr>
        <w:tblPrEx>
          <w:tblCellMar>
            <w:top w:w="0" w:type="dxa"/>
            <w:left w:w="108" w:type="dxa"/>
            <w:bottom w:w="0" w:type="dxa"/>
            <w:right w:w="108" w:type="dxa"/>
          </w:tblCellMar>
        </w:tblPrEx>
        <w:trPr>
          <w:trHeight w:val="309" w:hRule="atLeast"/>
        </w:trPr>
        <w:tc>
          <w:tcPr>
            <w:tcW w:w="2196"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一、财政拨款收入</w:t>
            </w:r>
          </w:p>
        </w:tc>
        <w:tc>
          <w:tcPr>
            <w:tcW w:w="57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67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27,275.46</w:t>
            </w:r>
          </w:p>
        </w:tc>
        <w:tc>
          <w:tcPr>
            <w:tcW w:w="2557"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57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28</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13.83</w:t>
            </w:r>
          </w:p>
        </w:tc>
      </w:tr>
      <w:tr>
        <w:tblPrEx>
          <w:tblCellMar>
            <w:top w:w="0" w:type="dxa"/>
            <w:left w:w="108" w:type="dxa"/>
            <w:bottom w:w="0" w:type="dxa"/>
            <w:right w:w="108" w:type="dxa"/>
          </w:tblCellMar>
        </w:tblPrEx>
        <w:trPr>
          <w:trHeight w:val="309" w:hRule="atLeast"/>
        </w:trPr>
        <w:tc>
          <w:tcPr>
            <w:tcW w:w="2196"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二、上级补助收入</w:t>
            </w:r>
          </w:p>
        </w:tc>
        <w:tc>
          <w:tcPr>
            <w:tcW w:w="57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67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57"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57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29</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2196"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三、事业收入</w:t>
            </w:r>
          </w:p>
        </w:tc>
        <w:tc>
          <w:tcPr>
            <w:tcW w:w="57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67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57"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57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30</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2196"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四、经营收入</w:t>
            </w:r>
          </w:p>
        </w:tc>
        <w:tc>
          <w:tcPr>
            <w:tcW w:w="57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67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57"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57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31</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2196"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五、附属单位上缴收入</w:t>
            </w:r>
          </w:p>
        </w:tc>
        <w:tc>
          <w:tcPr>
            <w:tcW w:w="57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67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57"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57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32</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38.42</w:t>
            </w:r>
          </w:p>
        </w:tc>
      </w:tr>
      <w:tr>
        <w:tblPrEx>
          <w:tblCellMar>
            <w:top w:w="0" w:type="dxa"/>
            <w:left w:w="108" w:type="dxa"/>
            <w:bottom w:w="0" w:type="dxa"/>
            <w:right w:w="108" w:type="dxa"/>
          </w:tblCellMar>
        </w:tblPrEx>
        <w:trPr>
          <w:trHeight w:val="309" w:hRule="atLeast"/>
        </w:trPr>
        <w:tc>
          <w:tcPr>
            <w:tcW w:w="2196"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六、其他收入</w:t>
            </w:r>
          </w:p>
        </w:tc>
        <w:tc>
          <w:tcPr>
            <w:tcW w:w="57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67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5,924.84</w:t>
            </w:r>
          </w:p>
        </w:tc>
        <w:tc>
          <w:tcPr>
            <w:tcW w:w="2557"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57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33</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2196"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7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67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57"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七、文化体育与传媒支出</w:t>
            </w:r>
          </w:p>
        </w:tc>
        <w:tc>
          <w:tcPr>
            <w:tcW w:w="57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34</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2196"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7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67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57"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57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35</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1,630.53</w:t>
            </w:r>
          </w:p>
        </w:tc>
      </w:tr>
      <w:tr>
        <w:tblPrEx>
          <w:tblCellMar>
            <w:top w:w="0" w:type="dxa"/>
            <w:left w:w="108" w:type="dxa"/>
            <w:bottom w:w="0" w:type="dxa"/>
            <w:right w:w="108" w:type="dxa"/>
          </w:tblCellMar>
        </w:tblPrEx>
        <w:trPr>
          <w:trHeight w:val="309" w:hRule="atLeast"/>
        </w:trPr>
        <w:tc>
          <w:tcPr>
            <w:tcW w:w="2196"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7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67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57"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九、医疗卫生与计划生育支出</w:t>
            </w:r>
          </w:p>
        </w:tc>
        <w:tc>
          <w:tcPr>
            <w:tcW w:w="57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36</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1,166.78</w:t>
            </w:r>
          </w:p>
        </w:tc>
      </w:tr>
      <w:tr>
        <w:tblPrEx>
          <w:tblCellMar>
            <w:top w:w="0" w:type="dxa"/>
            <w:left w:w="108" w:type="dxa"/>
            <w:bottom w:w="0" w:type="dxa"/>
            <w:right w:w="108" w:type="dxa"/>
          </w:tblCellMar>
        </w:tblPrEx>
        <w:trPr>
          <w:trHeight w:val="309" w:hRule="atLeast"/>
        </w:trPr>
        <w:tc>
          <w:tcPr>
            <w:tcW w:w="2196"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7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67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57"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57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37</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30,091.96</w:t>
            </w:r>
          </w:p>
        </w:tc>
      </w:tr>
      <w:tr>
        <w:tblPrEx>
          <w:tblCellMar>
            <w:top w:w="0" w:type="dxa"/>
            <w:left w:w="108" w:type="dxa"/>
            <w:bottom w:w="0" w:type="dxa"/>
            <w:right w:w="108" w:type="dxa"/>
          </w:tblCellMar>
        </w:tblPrEx>
        <w:trPr>
          <w:trHeight w:val="309" w:hRule="atLeast"/>
        </w:trPr>
        <w:tc>
          <w:tcPr>
            <w:tcW w:w="2196"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7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67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57"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57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38</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117.12</w:t>
            </w:r>
          </w:p>
        </w:tc>
      </w:tr>
      <w:tr>
        <w:tblPrEx>
          <w:tblCellMar>
            <w:top w:w="0" w:type="dxa"/>
            <w:left w:w="108" w:type="dxa"/>
            <w:bottom w:w="0" w:type="dxa"/>
            <w:right w:w="108" w:type="dxa"/>
          </w:tblCellMar>
        </w:tblPrEx>
        <w:trPr>
          <w:trHeight w:val="309" w:hRule="atLeast"/>
        </w:trPr>
        <w:tc>
          <w:tcPr>
            <w:tcW w:w="2196"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7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67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57"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57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39</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2.00</w:t>
            </w:r>
          </w:p>
        </w:tc>
      </w:tr>
      <w:tr>
        <w:tblPrEx>
          <w:tblCellMar>
            <w:top w:w="0" w:type="dxa"/>
            <w:left w:w="108" w:type="dxa"/>
            <w:bottom w:w="0" w:type="dxa"/>
            <w:right w:w="108" w:type="dxa"/>
          </w:tblCellMar>
        </w:tblPrEx>
        <w:trPr>
          <w:trHeight w:val="309" w:hRule="atLeast"/>
        </w:trPr>
        <w:tc>
          <w:tcPr>
            <w:tcW w:w="2196"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7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67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57"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57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40</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2196"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7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67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57"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十四、资源勘探信息等支出</w:t>
            </w:r>
          </w:p>
        </w:tc>
        <w:tc>
          <w:tcPr>
            <w:tcW w:w="57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41</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2196"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7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67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57"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57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42</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2196"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7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67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57"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57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43</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2196"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7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67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57"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57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44</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2196"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7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67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57"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十八、国土海洋气象等支出</w:t>
            </w:r>
          </w:p>
        </w:tc>
        <w:tc>
          <w:tcPr>
            <w:tcW w:w="57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45</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2196"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7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67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57"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57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46</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750.21</w:t>
            </w:r>
          </w:p>
        </w:tc>
      </w:tr>
      <w:tr>
        <w:tblPrEx>
          <w:tblCellMar>
            <w:top w:w="0" w:type="dxa"/>
            <w:left w:w="108" w:type="dxa"/>
            <w:bottom w:w="0" w:type="dxa"/>
            <w:right w:w="108" w:type="dxa"/>
          </w:tblCellMar>
        </w:tblPrEx>
        <w:trPr>
          <w:trHeight w:val="309" w:hRule="atLeast"/>
        </w:trPr>
        <w:tc>
          <w:tcPr>
            <w:tcW w:w="2196"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7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67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57"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57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47</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2196"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7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21</w:t>
            </w:r>
          </w:p>
        </w:tc>
        <w:tc>
          <w:tcPr>
            <w:tcW w:w="167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57"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二十一、其他支出</w:t>
            </w:r>
          </w:p>
        </w:tc>
        <w:tc>
          <w:tcPr>
            <w:tcW w:w="57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48</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2196"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7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22</w:t>
            </w:r>
          </w:p>
        </w:tc>
        <w:tc>
          <w:tcPr>
            <w:tcW w:w="167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57"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二十二、债务还本支出</w:t>
            </w:r>
          </w:p>
        </w:tc>
        <w:tc>
          <w:tcPr>
            <w:tcW w:w="57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49</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2196"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7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23</w:t>
            </w:r>
          </w:p>
        </w:tc>
        <w:tc>
          <w:tcPr>
            <w:tcW w:w="167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57"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二十三、债务付息支出</w:t>
            </w:r>
          </w:p>
        </w:tc>
        <w:tc>
          <w:tcPr>
            <w:tcW w:w="57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50</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2196"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本年收入合计</w:t>
            </w:r>
          </w:p>
        </w:tc>
        <w:tc>
          <w:tcPr>
            <w:tcW w:w="57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24</w:t>
            </w:r>
          </w:p>
        </w:tc>
        <w:tc>
          <w:tcPr>
            <w:tcW w:w="167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33,200.30</w:t>
            </w:r>
          </w:p>
        </w:tc>
        <w:tc>
          <w:tcPr>
            <w:tcW w:w="2557"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本年支出合计</w:t>
            </w:r>
          </w:p>
        </w:tc>
        <w:tc>
          <w:tcPr>
            <w:tcW w:w="57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51</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33,810.85</w:t>
            </w:r>
          </w:p>
        </w:tc>
      </w:tr>
      <w:tr>
        <w:tblPrEx>
          <w:tblCellMar>
            <w:top w:w="0" w:type="dxa"/>
            <w:left w:w="108" w:type="dxa"/>
            <w:bottom w:w="0" w:type="dxa"/>
            <w:right w:w="108" w:type="dxa"/>
          </w:tblCellMar>
        </w:tblPrEx>
        <w:trPr>
          <w:trHeight w:val="309" w:hRule="atLeast"/>
        </w:trPr>
        <w:tc>
          <w:tcPr>
            <w:tcW w:w="2196"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用事业基金弥补收支差额</w:t>
            </w:r>
          </w:p>
        </w:tc>
        <w:tc>
          <w:tcPr>
            <w:tcW w:w="57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25</w:t>
            </w:r>
          </w:p>
        </w:tc>
        <w:tc>
          <w:tcPr>
            <w:tcW w:w="167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57"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结余分配</w:t>
            </w:r>
          </w:p>
        </w:tc>
        <w:tc>
          <w:tcPr>
            <w:tcW w:w="57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52</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2196"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年初结转和结余</w:t>
            </w:r>
          </w:p>
        </w:tc>
        <w:tc>
          <w:tcPr>
            <w:tcW w:w="57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26</w:t>
            </w:r>
          </w:p>
        </w:tc>
        <w:tc>
          <w:tcPr>
            <w:tcW w:w="167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6,644.00</w:t>
            </w:r>
          </w:p>
        </w:tc>
        <w:tc>
          <w:tcPr>
            <w:tcW w:w="2557"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年末结转和结余</w:t>
            </w:r>
          </w:p>
        </w:tc>
        <w:tc>
          <w:tcPr>
            <w:tcW w:w="57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53</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6,033.45</w:t>
            </w:r>
          </w:p>
        </w:tc>
      </w:tr>
      <w:tr>
        <w:tblPrEx>
          <w:tblCellMar>
            <w:top w:w="0" w:type="dxa"/>
            <w:left w:w="108" w:type="dxa"/>
            <w:bottom w:w="0" w:type="dxa"/>
            <w:right w:w="108" w:type="dxa"/>
          </w:tblCellMar>
        </w:tblPrEx>
        <w:trPr>
          <w:trHeight w:val="309" w:hRule="atLeast"/>
        </w:trPr>
        <w:tc>
          <w:tcPr>
            <w:tcW w:w="2196"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57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27</w:t>
            </w:r>
          </w:p>
        </w:tc>
        <w:tc>
          <w:tcPr>
            <w:tcW w:w="167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39,844.30</w:t>
            </w:r>
          </w:p>
        </w:tc>
        <w:tc>
          <w:tcPr>
            <w:tcW w:w="2557"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57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54</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39,844.30</w:t>
            </w:r>
          </w:p>
        </w:tc>
      </w:tr>
      <w:tr>
        <w:tblPrEx>
          <w:tblCellMar>
            <w:top w:w="0" w:type="dxa"/>
            <w:left w:w="108" w:type="dxa"/>
            <w:bottom w:w="0" w:type="dxa"/>
            <w:right w:w="108" w:type="dxa"/>
          </w:tblCellMar>
        </w:tblPrEx>
        <w:trPr>
          <w:trHeight w:val="309" w:hRule="atLeast"/>
        </w:trPr>
        <w:tc>
          <w:tcPr>
            <w:tcW w:w="9060" w:type="dxa"/>
            <w:gridSpan w:val="6"/>
            <w:tcBorders>
              <w:top w:val="nil"/>
              <w:left w:val="nil"/>
              <w:bottom w:val="nil"/>
              <w:right w:val="nil"/>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注：本表反映部门本年度的总收支和年末结转结余情况。</w:t>
            </w:r>
          </w:p>
        </w:tc>
      </w:tr>
      <w:tr>
        <w:tblPrEx>
          <w:tblCellMar>
            <w:top w:w="0" w:type="dxa"/>
            <w:left w:w="108" w:type="dxa"/>
            <w:bottom w:w="0" w:type="dxa"/>
            <w:right w:w="108" w:type="dxa"/>
          </w:tblCellMar>
        </w:tblPrEx>
        <w:trPr>
          <w:trHeight w:val="624" w:hRule="atLeast"/>
        </w:trPr>
        <w:tc>
          <w:tcPr>
            <w:tcW w:w="9060" w:type="dxa"/>
            <w:gridSpan w:val="6"/>
            <w:tcBorders>
              <w:top w:val="nil"/>
              <w:left w:val="nil"/>
              <w:right w:val="nil"/>
            </w:tcBorders>
            <w:shd w:val="clear" w:color="auto" w:fill="auto"/>
            <w:noWrap/>
            <w:vAlign w:val="center"/>
          </w:tcPr>
          <w:p>
            <w:pPr>
              <w:spacing w:after="0" w:line="240" w:lineRule="auto"/>
              <w:jc w:val="center"/>
              <w:rPr>
                <w:rFonts w:eastAsia="Times New Roman"/>
                <w:kern w:val="0"/>
                <w:sz w:val="18"/>
                <w:szCs w:val="18"/>
              </w:rPr>
            </w:pPr>
            <w:r>
              <w:rPr>
                <w:rFonts w:hint="eastAsia" w:ascii="宋体" w:hAnsi="宋体" w:cs="Arial"/>
                <w:color w:val="000000"/>
                <w:kern w:val="0"/>
                <w:sz w:val="18"/>
                <w:szCs w:val="18"/>
              </w:rPr>
              <w:t>— 1 —</w:t>
            </w:r>
          </w:p>
        </w:tc>
      </w:tr>
    </w:tbl>
    <w:p>
      <w:pPr>
        <w:widowControl/>
        <w:spacing w:after="0" w:line="240" w:lineRule="auto"/>
        <w:jc w:val="left"/>
        <w:rPr>
          <w:sz w:val="18"/>
          <w:szCs w:val="18"/>
        </w:rPr>
        <w:sectPr>
          <w:headerReference r:id="rId7" w:type="default"/>
          <w:pgSz w:w="11906" w:h="16838"/>
          <w:pgMar w:top="2098" w:right="1474" w:bottom="1984" w:left="1588" w:header="851" w:footer="992" w:gutter="0"/>
          <w:cols w:space="0" w:num="1"/>
          <w:docGrid w:type="lines" w:linePitch="312" w:charSpace="0"/>
        </w:sectPr>
      </w:pPr>
      <w:r>
        <w:rPr>
          <w:sz w:val="18"/>
          <w:szCs w:val="18"/>
        </w:rPr>
        <w:br w:type="page"/>
      </w:r>
    </w:p>
    <w:tbl>
      <w:tblPr>
        <w:tblStyle w:val="12"/>
        <w:tblW w:w="13992" w:type="dxa"/>
        <w:tblInd w:w="0" w:type="dxa"/>
        <w:tblLayout w:type="fixed"/>
        <w:tblCellMar>
          <w:top w:w="0" w:type="dxa"/>
          <w:left w:w="108" w:type="dxa"/>
          <w:bottom w:w="0" w:type="dxa"/>
          <w:right w:w="108" w:type="dxa"/>
        </w:tblCellMar>
      </w:tblPr>
      <w:tblGrid>
        <w:gridCol w:w="433"/>
        <w:gridCol w:w="425"/>
        <w:gridCol w:w="422"/>
        <w:gridCol w:w="4716"/>
        <w:gridCol w:w="1499"/>
        <w:gridCol w:w="1172"/>
        <w:gridCol w:w="1201"/>
        <w:gridCol w:w="722"/>
        <w:gridCol w:w="722"/>
        <w:gridCol w:w="1204"/>
        <w:gridCol w:w="1476"/>
      </w:tblGrid>
      <w:tr>
        <w:tblPrEx>
          <w:tblCellMar>
            <w:top w:w="0" w:type="dxa"/>
            <w:left w:w="108" w:type="dxa"/>
            <w:bottom w:w="0" w:type="dxa"/>
            <w:right w:w="108" w:type="dxa"/>
          </w:tblCellMar>
        </w:tblPrEx>
        <w:trPr>
          <w:trHeight w:val="384" w:hRule="atLeast"/>
        </w:trPr>
        <w:tc>
          <w:tcPr>
            <w:tcW w:w="13992" w:type="dxa"/>
            <w:gridSpan w:val="11"/>
            <w:tcBorders>
              <w:top w:val="nil"/>
              <w:left w:val="nil"/>
              <w:bottom w:val="nil"/>
              <w:right w:val="nil"/>
            </w:tcBorders>
            <w:shd w:val="clear" w:color="auto" w:fill="auto"/>
            <w:noWrap/>
            <w:vAlign w:val="center"/>
          </w:tcPr>
          <w:p>
            <w:pPr>
              <w:widowControl/>
              <w:spacing w:after="0" w:line="240" w:lineRule="auto"/>
              <w:jc w:val="center"/>
              <w:rPr>
                <w:rFonts w:eastAsia="Times New Roman"/>
                <w:b/>
                <w:bCs/>
                <w:kern w:val="0"/>
                <w:sz w:val="30"/>
                <w:szCs w:val="30"/>
              </w:rPr>
            </w:pPr>
            <w:r>
              <w:rPr>
                <w:rFonts w:hint="eastAsia" w:ascii="宋体" w:hAnsi="宋体" w:cs="Arial"/>
                <w:b/>
                <w:bCs/>
                <w:color w:val="000000"/>
                <w:kern w:val="0"/>
                <w:sz w:val="30"/>
                <w:szCs w:val="30"/>
              </w:rPr>
              <w:t>收入决算表</w:t>
            </w:r>
          </w:p>
        </w:tc>
      </w:tr>
      <w:tr>
        <w:tblPrEx>
          <w:tblCellMar>
            <w:top w:w="0" w:type="dxa"/>
            <w:left w:w="108" w:type="dxa"/>
            <w:bottom w:w="0" w:type="dxa"/>
            <w:right w:w="108" w:type="dxa"/>
          </w:tblCellMar>
        </w:tblPrEx>
        <w:trPr>
          <w:trHeight w:val="264" w:hRule="atLeast"/>
        </w:trPr>
        <w:tc>
          <w:tcPr>
            <w:tcW w:w="433"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425"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422"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4716"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499"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172"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201"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722"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722"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204"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476" w:type="dxa"/>
            <w:tcBorders>
              <w:top w:val="nil"/>
              <w:left w:val="nil"/>
              <w:bottom w:val="nil"/>
              <w:right w:val="nil"/>
            </w:tcBorders>
            <w:shd w:val="clear" w:color="auto" w:fill="auto"/>
            <w:noWrap/>
            <w:vAlign w:val="bottom"/>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公开02表</w:t>
            </w:r>
          </w:p>
        </w:tc>
      </w:tr>
      <w:tr>
        <w:tblPrEx>
          <w:tblCellMar>
            <w:top w:w="0" w:type="dxa"/>
            <w:left w:w="108" w:type="dxa"/>
            <w:bottom w:w="0" w:type="dxa"/>
            <w:right w:w="108" w:type="dxa"/>
          </w:tblCellMar>
        </w:tblPrEx>
        <w:trPr>
          <w:trHeight w:val="264" w:hRule="atLeast"/>
        </w:trPr>
        <w:tc>
          <w:tcPr>
            <w:tcW w:w="5996" w:type="dxa"/>
            <w:gridSpan w:val="4"/>
            <w:tcBorders>
              <w:top w:val="nil"/>
              <w:left w:val="nil"/>
              <w:bottom w:val="nil"/>
              <w:right w:val="nil"/>
            </w:tcBorders>
            <w:shd w:val="clear" w:color="auto" w:fill="auto"/>
            <w:noWrap/>
            <w:vAlign w:val="bottom"/>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部门：唐山市环境保护局系统（汇总）</w:t>
            </w:r>
          </w:p>
        </w:tc>
        <w:tc>
          <w:tcPr>
            <w:tcW w:w="1499" w:type="dxa"/>
            <w:tcBorders>
              <w:top w:val="nil"/>
              <w:left w:val="nil"/>
              <w:bottom w:val="nil"/>
              <w:right w:val="nil"/>
            </w:tcBorders>
            <w:shd w:val="clear" w:color="auto" w:fill="auto"/>
            <w:noWrap/>
            <w:vAlign w:val="bottom"/>
          </w:tcPr>
          <w:p>
            <w:pPr>
              <w:widowControl/>
              <w:spacing w:after="0" w:line="240" w:lineRule="auto"/>
              <w:jc w:val="left"/>
              <w:rPr>
                <w:rFonts w:ascii="宋体" w:hAnsi="宋体" w:cs="Arial"/>
                <w:color w:val="000000"/>
                <w:kern w:val="0"/>
                <w:sz w:val="18"/>
                <w:szCs w:val="18"/>
              </w:rPr>
            </w:pPr>
          </w:p>
        </w:tc>
        <w:tc>
          <w:tcPr>
            <w:tcW w:w="1172"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201"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722"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722"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204"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476" w:type="dxa"/>
            <w:tcBorders>
              <w:top w:val="nil"/>
              <w:left w:val="nil"/>
              <w:bottom w:val="nil"/>
              <w:right w:val="nil"/>
            </w:tcBorders>
            <w:shd w:val="clear" w:color="auto" w:fill="auto"/>
            <w:noWrap/>
            <w:vAlign w:val="bottom"/>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金额单位：万元</w:t>
            </w:r>
          </w:p>
        </w:tc>
      </w:tr>
      <w:tr>
        <w:tblPrEx>
          <w:tblCellMar>
            <w:top w:w="0" w:type="dxa"/>
            <w:left w:w="108" w:type="dxa"/>
            <w:bottom w:w="0" w:type="dxa"/>
            <w:right w:w="108" w:type="dxa"/>
          </w:tblCellMar>
        </w:tblPrEx>
        <w:trPr>
          <w:trHeight w:val="309" w:hRule="atLeast"/>
        </w:trPr>
        <w:tc>
          <w:tcPr>
            <w:tcW w:w="5996"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1499"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本年收入合计</w:t>
            </w:r>
          </w:p>
        </w:tc>
        <w:tc>
          <w:tcPr>
            <w:tcW w:w="1172"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财政拨款收入</w:t>
            </w:r>
          </w:p>
        </w:tc>
        <w:tc>
          <w:tcPr>
            <w:tcW w:w="1201"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上级补助收入</w:t>
            </w:r>
          </w:p>
        </w:tc>
        <w:tc>
          <w:tcPr>
            <w:tcW w:w="722"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事业收入</w:t>
            </w:r>
          </w:p>
        </w:tc>
        <w:tc>
          <w:tcPr>
            <w:tcW w:w="722"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经营收入</w:t>
            </w:r>
          </w:p>
        </w:tc>
        <w:tc>
          <w:tcPr>
            <w:tcW w:w="1204"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附属单位上缴收入</w:t>
            </w:r>
          </w:p>
        </w:tc>
        <w:tc>
          <w:tcPr>
            <w:tcW w:w="1476"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其他收入</w:t>
            </w:r>
          </w:p>
        </w:tc>
      </w:tr>
      <w:tr>
        <w:tblPrEx>
          <w:tblCellMar>
            <w:top w:w="0" w:type="dxa"/>
            <w:left w:w="108" w:type="dxa"/>
            <w:bottom w:w="0" w:type="dxa"/>
            <w:right w:w="108" w:type="dxa"/>
          </w:tblCellMar>
        </w:tblPrEx>
        <w:trPr>
          <w:trHeight w:val="312" w:hRule="atLeast"/>
        </w:trPr>
        <w:tc>
          <w:tcPr>
            <w:tcW w:w="128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功能分类科目编码</w:t>
            </w:r>
          </w:p>
        </w:tc>
        <w:tc>
          <w:tcPr>
            <w:tcW w:w="4716" w:type="dxa"/>
            <w:vMerge w:val="restart"/>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科目名称</w:t>
            </w:r>
          </w:p>
        </w:tc>
        <w:tc>
          <w:tcPr>
            <w:tcW w:w="1499" w:type="dxa"/>
            <w:vMerge w:val="continue"/>
            <w:tcBorders>
              <w:top w:val="single" w:color="000000" w:sz="4" w:space="0"/>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1172" w:type="dxa"/>
            <w:vMerge w:val="continue"/>
            <w:tcBorders>
              <w:top w:val="single" w:color="000000" w:sz="4" w:space="0"/>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1201" w:type="dxa"/>
            <w:vMerge w:val="continue"/>
            <w:tcBorders>
              <w:top w:val="single" w:color="000000" w:sz="4" w:space="0"/>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722" w:type="dxa"/>
            <w:vMerge w:val="continue"/>
            <w:tcBorders>
              <w:top w:val="single" w:color="000000" w:sz="4" w:space="0"/>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722" w:type="dxa"/>
            <w:vMerge w:val="continue"/>
            <w:tcBorders>
              <w:top w:val="single" w:color="000000" w:sz="4" w:space="0"/>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1204" w:type="dxa"/>
            <w:vMerge w:val="continue"/>
            <w:tcBorders>
              <w:top w:val="single" w:color="000000" w:sz="4" w:space="0"/>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1476" w:type="dxa"/>
            <w:vMerge w:val="continue"/>
            <w:tcBorders>
              <w:top w:val="single" w:color="000000" w:sz="4" w:space="0"/>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r>
      <w:tr>
        <w:tblPrEx>
          <w:tblCellMar>
            <w:top w:w="0" w:type="dxa"/>
            <w:left w:w="108" w:type="dxa"/>
            <w:bottom w:w="0" w:type="dxa"/>
            <w:right w:w="108" w:type="dxa"/>
          </w:tblCellMar>
        </w:tblPrEx>
        <w:trPr>
          <w:trHeight w:val="312" w:hRule="atLeast"/>
        </w:trPr>
        <w:tc>
          <w:tcPr>
            <w:tcW w:w="1280" w:type="dxa"/>
            <w:gridSpan w:val="3"/>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4716"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1499" w:type="dxa"/>
            <w:vMerge w:val="continue"/>
            <w:tcBorders>
              <w:top w:val="single" w:color="000000" w:sz="4" w:space="0"/>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1172" w:type="dxa"/>
            <w:vMerge w:val="continue"/>
            <w:tcBorders>
              <w:top w:val="single" w:color="000000" w:sz="4" w:space="0"/>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1201" w:type="dxa"/>
            <w:vMerge w:val="continue"/>
            <w:tcBorders>
              <w:top w:val="single" w:color="000000" w:sz="4" w:space="0"/>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722" w:type="dxa"/>
            <w:vMerge w:val="continue"/>
            <w:tcBorders>
              <w:top w:val="single" w:color="000000" w:sz="4" w:space="0"/>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722" w:type="dxa"/>
            <w:vMerge w:val="continue"/>
            <w:tcBorders>
              <w:top w:val="single" w:color="000000" w:sz="4" w:space="0"/>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1204" w:type="dxa"/>
            <w:vMerge w:val="continue"/>
            <w:tcBorders>
              <w:top w:val="single" w:color="000000" w:sz="4" w:space="0"/>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1476" w:type="dxa"/>
            <w:vMerge w:val="continue"/>
            <w:tcBorders>
              <w:top w:val="single" w:color="000000" w:sz="4" w:space="0"/>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r>
      <w:tr>
        <w:tblPrEx>
          <w:tblCellMar>
            <w:top w:w="0" w:type="dxa"/>
            <w:left w:w="108" w:type="dxa"/>
            <w:bottom w:w="0" w:type="dxa"/>
            <w:right w:w="108" w:type="dxa"/>
          </w:tblCellMar>
        </w:tblPrEx>
        <w:trPr>
          <w:trHeight w:val="312" w:hRule="atLeast"/>
        </w:trPr>
        <w:tc>
          <w:tcPr>
            <w:tcW w:w="1280" w:type="dxa"/>
            <w:gridSpan w:val="3"/>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4716"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1499" w:type="dxa"/>
            <w:vMerge w:val="continue"/>
            <w:tcBorders>
              <w:top w:val="single" w:color="000000" w:sz="4" w:space="0"/>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1172" w:type="dxa"/>
            <w:vMerge w:val="continue"/>
            <w:tcBorders>
              <w:top w:val="single" w:color="000000" w:sz="4" w:space="0"/>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1201" w:type="dxa"/>
            <w:vMerge w:val="continue"/>
            <w:tcBorders>
              <w:top w:val="single" w:color="000000" w:sz="4" w:space="0"/>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722" w:type="dxa"/>
            <w:vMerge w:val="continue"/>
            <w:tcBorders>
              <w:top w:val="single" w:color="000000" w:sz="4" w:space="0"/>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722" w:type="dxa"/>
            <w:vMerge w:val="continue"/>
            <w:tcBorders>
              <w:top w:val="single" w:color="000000" w:sz="4" w:space="0"/>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1204" w:type="dxa"/>
            <w:vMerge w:val="continue"/>
            <w:tcBorders>
              <w:top w:val="single" w:color="000000" w:sz="4" w:space="0"/>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1476" w:type="dxa"/>
            <w:vMerge w:val="continue"/>
            <w:tcBorders>
              <w:top w:val="single" w:color="000000" w:sz="4" w:space="0"/>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r>
      <w:tr>
        <w:tblPrEx>
          <w:tblCellMar>
            <w:top w:w="0" w:type="dxa"/>
            <w:left w:w="108" w:type="dxa"/>
            <w:bottom w:w="0" w:type="dxa"/>
            <w:right w:w="108" w:type="dxa"/>
          </w:tblCellMar>
        </w:tblPrEx>
        <w:trPr>
          <w:trHeight w:val="309" w:hRule="atLeast"/>
        </w:trPr>
        <w:tc>
          <w:tcPr>
            <w:tcW w:w="5996"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1499" w:type="dxa"/>
            <w:tcBorders>
              <w:top w:val="nil"/>
              <w:left w:val="nil"/>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172" w:type="dxa"/>
            <w:tcBorders>
              <w:top w:val="nil"/>
              <w:left w:val="nil"/>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201" w:type="dxa"/>
            <w:tcBorders>
              <w:top w:val="nil"/>
              <w:left w:val="nil"/>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722" w:type="dxa"/>
            <w:tcBorders>
              <w:top w:val="nil"/>
              <w:left w:val="nil"/>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722" w:type="dxa"/>
            <w:tcBorders>
              <w:top w:val="nil"/>
              <w:left w:val="nil"/>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204" w:type="dxa"/>
            <w:tcBorders>
              <w:top w:val="nil"/>
              <w:left w:val="nil"/>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476" w:type="dxa"/>
            <w:tcBorders>
              <w:top w:val="nil"/>
              <w:left w:val="nil"/>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7</w:t>
            </w:r>
          </w:p>
        </w:tc>
      </w:tr>
      <w:tr>
        <w:tblPrEx>
          <w:tblCellMar>
            <w:top w:w="0" w:type="dxa"/>
            <w:left w:w="108" w:type="dxa"/>
            <w:bottom w:w="0" w:type="dxa"/>
            <w:right w:w="108" w:type="dxa"/>
          </w:tblCellMar>
        </w:tblPrEx>
        <w:trPr>
          <w:trHeight w:val="309" w:hRule="atLeast"/>
        </w:trPr>
        <w:tc>
          <w:tcPr>
            <w:tcW w:w="5996"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149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b/>
                <w:bCs/>
                <w:color w:val="000000"/>
                <w:kern w:val="0"/>
                <w:sz w:val="18"/>
                <w:szCs w:val="18"/>
              </w:rPr>
            </w:pPr>
            <w:r>
              <w:rPr>
                <w:rFonts w:hint="eastAsia" w:ascii="宋体" w:hAnsi="宋体" w:cs="Arial"/>
                <w:b/>
                <w:bCs/>
                <w:color w:val="000000"/>
                <w:kern w:val="0"/>
                <w:sz w:val="18"/>
                <w:szCs w:val="18"/>
              </w:rPr>
              <w:t>33,200.30</w:t>
            </w:r>
          </w:p>
        </w:tc>
        <w:tc>
          <w:tcPr>
            <w:tcW w:w="117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b/>
                <w:bCs/>
                <w:color w:val="000000"/>
                <w:kern w:val="0"/>
                <w:sz w:val="18"/>
                <w:szCs w:val="18"/>
              </w:rPr>
            </w:pPr>
            <w:r>
              <w:rPr>
                <w:rFonts w:hint="eastAsia" w:ascii="宋体" w:hAnsi="宋体" w:cs="Arial"/>
                <w:b/>
                <w:bCs/>
                <w:color w:val="000000"/>
                <w:kern w:val="0"/>
                <w:sz w:val="18"/>
                <w:szCs w:val="18"/>
              </w:rPr>
              <w:t>27,275.46</w:t>
            </w:r>
          </w:p>
        </w:tc>
        <w:tc>
          <w:tcPr>
            <w:tcW w:w="1201"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b/>
                <w:bCs/>
                <w:color w:val="000000"/>
                <w:kern w:val="0"/>
                <w:sz w:val="18"/>
                <w:szCs w:val="18"/>
              </w:rPr>
            </w:pPr>
            <w:r>
              <w:rPr>
                <w:rFonts w:hint="eastAsia" w:ascii="宋体" w:hAnsi="宋体" w:cs="Arial"/>
                <w:b/>
                <w:bCs/>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b/>
                <w:bCs/>
                <w:color w:val="000000"/>
                <w:kern w:val="0"/>
                <w:sz w:val="18"/>
                <w:szCs w:val="18"/>
              </w:rPr>
            </w:pPr>
            <w:r>
              <w:rPr>
                <w:rFonts w:hint="eastAsia" w:ascii="宋体" w:hAnsi="宋体" w:cs="Arial"/>
                <w:b/>
                <w:bCs/>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b/>
                <w:bCs/>
                <w:color w:val="000000"/>
                <w:kern w:val="0"/>
                <w:sz w:val="18"/>
                <w:szCs w:val="18"/>
              </w:rPr>
            </w:pPr>
            <w:r>
              <w:rPr>
                <w:rFonts w:hint="eastAsia" w:ascii="宋体" w:hAnsi="宋体" w:cs="Arial"/>
                <w:b/>
                <w:bCs/>
                <w:color w:val="000000"/>
                <w:kern w:val="0"/>
                <w:sz w:val="18"/>
                <w:szCs w:val="18"/>
              </w:rPr>
              <w:t>　</w:t>
            </w:r>
          </w:p>
        </w:tc>
        <w:tc>
          <w:tcPr>
            <w:tcW w:w="120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b/>
                <w:bCs/>
                <w:color w:val="000000"/>
                <w:kern w:val="0"/>
                <w:sz w:val="18"/>
                <w:szCs w:val="18"/>
              </w:rPr>
            </w:pPr>
            <w:r>
              <w:rPr>
                <w:rFonts w:hint="eastAsia" w:ascii="宋体" w:hAnsi="宋体" w:cs="Arial"/>
                <w:b/>
                <w:bCs/>
                <w:color w:val="000000"/>
                <w:kern w:val="0"/>
                <w:sz w:val="18"/>
                <w:szCs w:val="18"/>
              </w:rPr>
              <w:t>　</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b/>
                <w:bCs/>
                <w:color w:val="000000"/>
                <w:kern w:val="0"/>
                <w:sz w:val="18"/>
                <w:szCs w:val="18"/>
              </w:rPr>
            </w:pPr>
            <w:r>
              <w:rPr>
                <w:rFonts w:hint="eastAsia" w:ascii="宋体" w:hAnsi="宋体" w:cs="Arial"/>
                <w:b/>
                <w:bCs/>
                <w:color w:val="000000"/>
                <w:kern w:val="0"/>
                <w:sz w:val="18"/>
                <w:szCs w:val="18"/>
              </w:rPr>
              <w:t>5,924.84</w:t>
            </w:r>
          </w:p>
        </w:tc>
      </w:tr>
      <w:tr>
        <w:tblPrEx>
          <w:tblCellMar>
            <w:top w:w="0" w:type="dxa"/>
            <w:left w:w="108" w:type="dxa"/>
            <w:bottom w:w="0" w:type="dxa"/>
            <w:right w:w="108" w:type="dxa"/>
          </w:tblCellMar>
        </w:tblPrEx>
        <w:trPr>
          <w:trHeight w:val="309" w:hRule="atLeast"/>
        </w:trPr>
        <w:tc>
          <w:tcPr>
            <w:tcW w:w="128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201</w:t>
            </w:r>
          </w:p>
        </w:tc>
        <w:tc>
          <w:tcPr>
            <w:tcW w:w="471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一般公共服务支出</w:t>
            </w:r>
          </w:p>
        </w:tc>
        <w:tc>
          <w:tcPr>
            <w:tcW w:w="149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14.03</w:t>
            </w:r>
          </w:p>
        </w:tc>
        <w:tc>
          <w:tcPr>
            <w:tcW w:w="117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14.03</w:t>
            </w:r>
          </w:p>
        </w:tc>
        <w:tc>
          <w:tcPr>
            <w:tcW w:w="1201"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0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128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20106</w:t>
            </w:r>
          </w:p>
        </w:tc>
        <w:tc>
          <w:tcPr>
            <w:tcW w:w="471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财政事务</w:t>
            </w:r>
          </w:p>
        </w:tc>
        <w:tc>
          <w:tcPr>
            <w:tcW w:w="149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4.61</w:t>
            </w:r>
          </w:p>
        </w:tc>
        <w:tc>
          <w:tcPr>
            <w:tcW w:w="117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4.61</w:t>
            </w:r>
          </w:p>
        </w:tc>
        <w:tc>
          <w:tcPr>
            <w:tcW w:w="1201"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0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128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2010601</w:t>
            </w:r>
          </w:p>
        </w:tc>
        <w:tc>
          <w:tcPr>
            <w:tcW w:w="471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xml:space="preserve">  行政运行</w:t>
            </w:r>
          </w:p>
        </w:tc>
        <w:tc>
          <w:tcPr>
            <w:tcW w:w="149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4.61</w:t>
            </w:r>
          </w:p>
        </w:tc>
        <w:tc>
          <w:tcPr>
            <w:tcW w:w="117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4.61</w:t>
            </w:r>
          </w:p>
        </w:tc>
        <w:tc>
          <w:tcPr>
            <w:tcW w:w="1201"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0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128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20110</w:t>
            </w:r>
          </w:p>
        </w:tc>
        <w:tc>
          <w:tcPr>
            <w:tcW w:w="471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人力资源事务</w:t>
            </w:r>
          </w:p>
        </w:tc>
        <w:tc>
          <w:tcPr>
            <w:tcW w:w="149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9.42</w:t>
            </w:r>
          </w:p>
        </w:tc>
        <w:tc>
          <w:tcPr>
            <w:tcW w:w="117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9.42</w:t>
            </w:r>
          </w:p>
        </w:tc>
        <w:tc>
          <w:tcPr>
            <w:tcW w:w="1201"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0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128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2011002</w:t>
            </w:r>
          </w:p>
        </w:tc>
        <w:tc>
          <w:tcPr>
            <w:tcW w:w="471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xml:space="preserve">  一般行政管理事务</w:t>
            </w:r>
          </w:p>
        </w:tc>
        <w:tc>
          <w:tcPr>
            <w:tcW w:w="149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9.42</w:t>
            </w:r>
          </w:p>
        </w:tc>
        <w:tc>
          <w:tcPr>
            <w:tcW w:w="117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9.42</w:t>
            </w:r>
          </w:p>
        </w:tc>
        <w:tc>
          <w:tcPr>
            <w:tcW w:w="1201"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0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128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205</w:t>
            </w:r>
          </w:p>
        </w:tc>
        <w:tc>
          <w:tcPr>
            <w:tcW w:w="471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教育支出</w:t>
            </w:r>
          </w:p>
        </w:tc>
        <w:tc>
          <w:tcPr>
            <w:tcW w:w="149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43.19</w:t>
            </w:r>
          </w:p>
        </w:tc>
        <w:tc>
          <w:tcPr>
            <w:tcW w:w="117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43.19</w:t>
            </w:r>
          </w:p>
        </w:tc>
        <w:tc>
          <w:tcPr>
            <w:tcW w:w="1201"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0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128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20508</w:t>
            </w:r>
          </w:p>
        </w:tc>
        <w:tc>
          <w:tcPr>
            <w:tcW w:w="471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进修及培训</w:t>
            </w:r>
          </w:p>
        </w:tc>
        <w:tc>
          <w:tcPr>
            <w:tcW w:w="149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43.19</w:t>
            </w:r>
          </w:p>
        </w:tc>
        <w:tc>
          <w:tcPr>
            <w:tcW w:w="117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43.19</w:t>
            </w:r>
          </w:p>
        </w:tc>
        <w:tc>
          <w:tcPr>
            <w:tcW w:w="1201"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0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128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2050803</w:t>
            </w:r>
          </w:p>
        </w:tc>
        <w:tc>
          <w:tcPr>
            <w:tcW w:w="471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xml:space="preserve">  培训支出</w:t>
            </w:r>
          </w:p>
        </w:tc>
        <w:tc>
          <w:tcPr>
            <w:tcW w:w="149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43.19</w:t>
            </w:r>
          </w:p>
        </w:tc>
        <w:tc>
          <w:tcPr>
            <w:tcW w:w="117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43.19</w:t>
            </w:r>
          </w:p>
        </w:tc>
        <w:tc>
          <w:tcPr>
            <w:tcW w:w="1201"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0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128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208</w:t>
            </w:r>
          </w:p>
        </w:tc>
        <w:tc>
          <w:tcPr>
            <w:tcW w:w="471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社会保障和就业支出</w:t>
            </w:r>
          </w:p>
        </w:tc>
        <w:tc>
          <w:tcPr>
            <w:tcW w:w="149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1,827.12</w:t>
            </w:r>
          </w:p>
        </w:tc>
        <w:tc>
          <w:tcPr>
            <w:tcW w:w="117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1,685.02</w:t>
            </w:r>
          </w:p>
        </w:tc>
        <w:tc>
          <w:tcPr>
            <w:tcW w:w="1201"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0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142.10</w:t>
            </w:r>
          </w:p>
        </w:tc>
      </w:tr>
      <w:tr>
        <w:tblPrEx>
          <w:tblCellMar>
            <w:top w:w="0" w:type="dxa"/>
            <w:left w:w="108" w:type="dxa"/>
            <w:bottom w:w="0" w:type="dxa"/>
            <w:right w:w="108" w:type="dxa"/>
          </w:tblCellMar>
        </w:tblPrEx>
        <w:trPr>
          <w:trHeight w:val="309" w:hRule="atLeast"/>
        </w:trPr>
        <w:tc>
          <w:tcPr>
            <w:tcW w:w="128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20805</w:t>
            </w:r>
          </w:p>
        </w:tc>
        <w:tc>
          <w:tcPr>
            <w:tcW w:w="471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行政事业单位离退休</w:t>
            </w:r>
          </w:p>
        </w:tc>
        <w:tc>
          <w:tcPr>
            <w:tcW w:w="149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1,827.12</w:t>
            </w:r>
          </w:p>
        </w:tc>
        <w:tc>
          <w:tcPr>
            <w:tcW w:w="117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1,685.02</w:t>
            </w:r>
          </w:p>
        </w:tc>
        <w:tc>
          <w:tcPr>
            <w:tcW w:w="1201"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0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142.10</w:t>
            </w:r>
          </w:p>
        </w:tc>
      </w:tr>
      <w:tr>
        <w:tblPrEx>
          <w:tblCellMar>
            <w:top w:w="0" w:type="dxa"/>
            <w:left w:w="108" w:type="dxa"/>
            <w:bottom w:w="0" w:type="dxa"/>
            <w:right w:w="108" w:type="dxa"/>
          </w:tblCellMar>
        </w:tblPrEx>
        <w:trPr>
          <w:trHeight w:val="309" w:hRule="atLeast"/>
        </w:trPr>
        <w:tc>
          <w:tcPr>
            <w:tcW w:w="128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2080505</w:t>
            </w:r>
          </w:p>
        </w:tc>
        <w:tc>
          <w:tcPr>
            <w:tcW w:w="471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xml:space="preserve">  机关事业单位基本养老保险缴费支出</w:t>
            </w:r>
          </w:p>
        </w:tc>
        <w:tc>
          <w:tcPr>
            <w:tcW w:w="149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1,553.99</w:t>
            </w:r>
          </w:p>
        </w:tc>
        <w:tc>
          <w:tcPr>
            <w:tcW w:w="117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1,506.04</w:t>
            </w:r>
          </w:p>
        </w:tc>
        <w:tc>
          <w:tcPr>
            <w:tcW w:w="1201"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0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47.95</w:t>
            </w:r>
          </w:p>
        </w:tc>
      </w:tr>
      <w:tr>
        <w:tblPrEx>
          <w:tblCellMar>
            <w:top w:w="0" w:type="dxa"/>
            <w:left w:w="108" w:type="dxa"/>
            <w:bottom w:w="0" w:type="dxa"/>
            <w:right w:w="108" w:type="dxa"/>
          </w:tblCellMar>
        </w:tblPrEx>
        <w:trPr>
          <w:trHeight w:val="309" w:hRule="atLeast"/>
        </w:trPr>
        <w:tc>
          <w:tcPr>
            <w:tcW w:w="128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2080506</w:t>
            </w:r>
          </w:p>
        </w:tc>
        <w:tc>
          <w:tcPr>
            <w:tcW w:w="471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xml:space="preserve">  机关事业单位职业年金缴费支出</w:t>
            </w:r>
          </w:p>
        </w:tc>
        <w:tc>
          <w:tcPr>
            <w:tcW w:w="149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273.13</w:t>
            </w:r>
          </w:p>
        </w:tc>
        <w:tc>
          <w:tcPr>
            <w:tcW w:w="117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178.98</w:t>
            </w:r>
          </w:p>
        </w:tc>
        <w:tc>
          <w:tcPr>
            <w:tcW w:w="1201"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0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94.15</w:t>
            </w:r>
          </w:p>
        </w:tc>
      </w:tr>
      <w:tr>
        <w:tblPrEx>
          <w:tblCellMar>
            <w:top w:w="0" w:type="dxa"/>
            <w:left w:w="108" w:type="dxa"/>
            <w:bottom w:w="0" w:type="dxa"/>
            <w:right w:w="108" w:type="dxa"/>
          </w:tblCellMar>
        </w:tblPrEx>
        <w:trPr>
          <w:trHeight w:val="309" w:hRule="atLeast"/>
        </w:trPr>
        <w:tc>
          <w:tcPr>
            <w:tcW w:w="128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210</w:t>
            </w:r>
          </w:p>
        </w:tc>
        <w:tc>
          <w:tcPr>
            <w:tcW w:w="471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医疗卫生与计划生育支出</w:t>
            </w:r>
          </w:p>
        </w:tc>
        <w:tc>
          <w:tcPr>
            <w:tcW w:w="149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1,309.33</w:t>
            </w:r>
          </w:p>
        </w:tc>
        <w:tc>
          <w:tcPr>
            <w:tcW w:w="117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1,295.32</w:t>
            </w:r>
          </w:p>
        </w:tc>
        <w:tc>
          <w:tcPr>
            <w:tcW w:w="1201"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0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14.01</w:t>
            </w:r>
          </w:p>
        </w:tc>
      </w:tr>
      <w:tr>
        <w:tblPrEx>
          <w:tblCellMar>
            <w:top w:w="0" w:type="dxa"/>
            <w:left w:w="108" w:type="dxa"/>
            <w:bottom w:w="0" w:type="dxa"/>
            <w:right w:w="108" w:type="dxa"/>
          </w:tblCellMar>
        </w:tblPrEx>
        <w:trPr>
          <w:trHeight w:val="309" w:hRule="atLeast"/>
        </w:trPr>
        <w:tc>
          <w:tcPr>
            <w:tcW w:w="128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21011</w:t>
            </w:r>
          </w:p>
        </w:tc>
        <w:tc>
          <w:tcPr>
            <w:tcW w:w="471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行政事业单位医疗</w:t>
            </w:r>
          </w:p>
        </w:tc>
        <w:tc>
          <w:tcPr>
            <w:tcW w:w="149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1,309.33</w:t>
            </w:r>
          </w:p>
        </w:tc>
        <w:tc>
          <w:tcPr>
            <w:tcW w:w="117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1,295.32</w:t>
            </w:r>
          </w:p>
        </w:tc>
        <w:tc>
          <w:tcPr>
            <w:tcW w:w="1201"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0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14.01</w:t>
            </w:r>
          </w:p>
        </w:tc>
      </w:tr>
      <w:tr>
        <w:tblPrEx>
          <w:tblCellMar>
            <w:top w:w="0" w:type="dxa"/>
            <w:left w:w="108" w:type="dxa"/>
            <w:bottom w:w="0" w:type="dxa"/>
            <w:right w:w="108" w:type="dxa"/>
          </w:tblCellMar>
        </w:tblPrEx>
        <w:trPr>
          <w:trHeight w:val="309" w:hRule="atLeast"/>
        </w:trPr>
        <w:tc>
          <w:tcPr>
            <w:tcW w:w="128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2101101</w:t>
            </w:r>
          </w:p>
        </w:tc>
        <w:tc>
          <w:tcPr>
            <w:tcW w:w="471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xml:space="preserve">  行政单位医疗</w:t>
            </w:r>
          </w:p>
        </w:tc>
        <w:tc>
          <w:tcPr>
            <w:tcW w:w="149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451.64</w:t>
            </w:r>
          </w:p>
        </w:tc>
        <w:tc>
          <w:tcPr>
            <w:tcW w:w="117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437.63</w:t>
            </w:r>
          </w:p>
        </w:tc>
        <w:tc>
          <w:tcPr>
            <w:tcW w:w="1201"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0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14.01</w:t>
            </w:r>
          </w:p>
        </w:tc>
      </w:tr>
      <w:tr>
        <w:tblPrEx>
          <w:tblCellMar>
            <w:top w:w="0" w:type="dxa"/>
            <w:left w:w="108" w:type="dxa"/>
            <w:bottom w:w="0" w:type="dxa"/>
            <w:right w:w="108" w:type="dxa"/>
          </w:tblCellMar>
        </w:tblPrEx>
        <w:trPr>
          <w:trHeight w:val="309" w:hRule="atLeast"/>
        </w:trPr>
        <w:tc>
          <w:tcPr>
            <w:tcW w:w="128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2101102</w:t>
            </w:r>
          </w:p>
        </w:tc>
        <w:tc>
          <w:tcPr>
            <w:tcW w:w="471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xml:space="preserve">  事业单位医疗</w:t>
            </w:r>
          </w:p>
        </w:tc>
        <w:tc>
          <w:tcPr>
            <w:tcW w:w="149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857.69</w:t>
            </w:r>
          </w:p>
        </w:tc>
        <w:tc>
          <w:tcPr>
            <w:tcW w:w="117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857.69</w:t>
            </w:r>
          </w:p>
        </w:tc>
        <w:tc>
          <w:tcPr>
            <w:tcW w:w="1201"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0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128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211</w:t>
            </w:r>
          </w:p>
        </w:tc>
        <w:tc>
          <w:tcPr>
            <w:tcW w:w="471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节能环保支出</w:t>
            </w:r>
          </w:p>
        </w:tc>
        <w:tc>
          <w:tcPr>
            <w:tcW w:w="149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29,085.84</w:t>
            </w:r>
          </w:p>
        </w:tc>
        <w:tc>
          <w:tcPr>
            <w:tcW w:w="117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23,473.95</w:t>
            </w:r>
          </w:p>
        </w:tc>
        <w:tc>
          <w:tcPr>
            <w:tcW w:w="1201"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0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5,611.89</w:t>
            </w:r>
          </w:p>
        </w:tc>
      </w:tr>
      <w:tr>
        <w:tblPrEx>
          <w:tblCellMar>
            <w:top w:w="0" w:type="dxa"/>
            <w:left w:w="108" w:type="dxa"/>
            <w:bottom w:w="0" w:type="dxa"/>
            <w:right w:w="108" w:type="dxa"/>
          </w:tblCellMar>
        </w:tblPrEx>
        <w:trPr>
          <w:trHeight w:val="309" w:hRule="atLeast"/>
        </w:trPr>
        <w:tc>
          <w:tcPr>
            <w:tcW w:w="128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21101</w:t>
            </w:r>
          </w:p>
        </w:tc>
        <w:tc>
          <w:tcPr>
            <w:tcW w:w="471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环境保护管理事务</w:t>
            </w:r>
          </w:p>
        </w:tc>
        <w:tc>
          <w:tcPr>
            <w:tcW w:w="149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13,387.86</w:t>
            </w:r>
          </w:p>
        </w:tc>
        <w:tc>
          <w:tcPr>
            <w:tcW w:w="117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12,343.90</w:t>
            </w:r>
          </w:p>
        </w:tc>
        <w:tc>
          <w:tcPr>
            <w:tcW w:w="1201"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0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1,043.97</w:t>
            </w:r>
          </w:p>
        </w:tc>
      </w:tr>
      <w:tr>
        <w:tblPrEx>
          <w:tblCellMar>
            <w:top w:w="0" w:type="dxa"/>
            <w:left w:w="108" w:type="dxa"/>
            <w:bottom w:w="0" w:type="dxa"/>
            <w:right w:w="108" w:type="dxa"/>
          </w:tblCellMar>
        </w:tblPrEx>
        <w:trPr>
          <w:trHeight w:val="309" w:hRule="atLeast"/>
        </w:trPr>
        <w:tc>
          <w:tcPr>
            <w:tcW w:w="128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2110101</w:t>
            </w:r>
          </w:p>
        </w:tc>
        <w:tc>
          <w:tcPr>
            <w:tcW w:w="471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xml:space="preserve">  行政运行</w:t>
            </w:r>
          </w:p>
        </w:tc>
        <w:tc>
          <w:tcPr>
            <w:tcW w:w="149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5,642.75</w:t>
            </w:r>
          </w:p>
        </w:tc>
        <w:tc>
          <w:tcPr>
            <w:tcW w:w="117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5,068.81</w:t>
            </w:r>
          </w:p>
        </w:tc>
        <w:tc>
          <w:tcPr>
            <w:tcW w:w="1201"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0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573.94</w:t>
            </w:r>
          </w:p>
        </w:tc>
      </w:tr>
      <w:tr>
        <w:tblPrEx>
          <w:tblCellMar>
            <w:top w:w="0" w:type="dxa"/>
            <w:left w:w="108" w:type="dxa"/>
            <w:bottom w:w="0" w:type="dxa"/>
            <w:right w:w="108" w:type="dxa"/>
          </w:tblCellMar>
        </w:tblPrEx>
        <w:trPr>
          <w:trHeight w:val="309" w:hRule="atLeast"/>
        </w:trPr>
        <w:tc>
          <w:tcPr>
            <w:tcW w:w="128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2110102</w:t>
            </w:r>
          </w:p>
        </w:tc>
        <w:tc>
          <w:tcPr>
            <w:tcW w:w="471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xml:space="preserve">  一般行政管理事务</w:t>
            </w:r>
          </w:p>
        </w:tc>
        <w:tc>
          <w:tcPr>
            <w:tcW w:w="149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1,351.69</w:t>
            </w:r>
          </w:p>
        </w:tc>
        <w:tc>
          <w:tcPr>
            <w:tcW w:w="117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1,351.69</w:t>
            </w:r>
          </w:p>
        </w:tc>
        <w:tc>
          <w:tcPr>
            <w:tcW w:w="1201"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0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128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2110104</w:t>
            </w:r>
          </w:p>
        </w:tc>
        <w:tc>
          <w:tcPr>
            <w:tcW w:w="471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xml:space="preserve">  环境保护宣传</w:t>
            </w:r>
          </w:p>
        </w:tc>
        <w:tc>
          <w:tcPr>
            <w:tcW w:w="149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27.35</w:t>
            </w:r>
          </w:p>
        </w:tc>
        <w:tc>
          <w:tcPr>
            <w:tcW w:w="117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27.35</w:t>
            </w:r>
          </w:p>
        </w:tc>
        <w:tc>
          <w:tcPr>
            <w:tcW w:w="1201"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0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128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2110105</w:t>
            </w:r>
          </w:p>
        </w:tc>
        <w:tc>
          <w:tcPr>
            <w:tcW w:w="471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xml:space="preserve">  环境保护法规、规划及标准</w:t>
            </w:r>
          </w:p>
        </w:tc>
        <w:tc>
          <w:tcPr>
            <w:tcW w:w="149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67.50</w:t>
            </w:r>
          </w:p>
        </w:tc>
        <w:tc>
          <w:tcPr>
            <w:tcW w:w="117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01"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0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67.50</w:t>
            </w:r>
          </w:p>
        </w:tc>
      </w:tr>
      <w:tr>
        <w:tblPrEx>
          <w:tblCellMar>
            <w:top w:w="0" w:type="dxa"/>
            <w:left w:w="108" w:type="dxa"/>
            <w:bottom w:w="0" w:type="dxa"/>
            <w:right w:w="108" w:type="dxa"/>
          </w:tblCellMar>
        </w:tblPrEx>
        <w:trPr>
          <w:trHeight w:val="309" w:hRule="atLeast"/>
        </w:trPr>
        <w:tc>
          <w:tcPr>
            <w:tcW w:w="128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2110199</w:t>
            </w:r>
          </w:p>
        </w:tc>
        <w:tc>
          <w:tcPr>
            <w:tcW w:w="471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xml:space="preserve">  其他环境保护管理事务支出</w:t>
            </w:r>
          </w:p>
        </w:tc>
        <w:tc>
          <w:tcPr>
            <w:tcW w:w="149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6,298.58</w:t>
            </w:r>
          </w:p>
        </w:tc>
        <w:tc>
          <w:tcPr>
            <w:tcW w:w="117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5,896.05</w:t>
            </w:r>
          </w:p>
        </w:tc>
        <w:tc>
          <w:tcPr>
            <w:tcW w:w="1201"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0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402.52</w:t>
            </w:r>
          </w:p>
        </w:tc>
      </w:tr>
      <w:tr>
        <w:tblPrEx>
          <w:tblCellMar>
            <w:top w:w="0" w:type="dxa"/>
            <w:left w:w="108" w:type="dxa"/>
            <w:bottom w:w="0" w:type="dxa"/>
            <w:right w:w="108" w:type="dxa"/>
          </w:tblCellMar>
        </w:tblPrEx>
        <w:trPr>
          <w:trHeight w:val="309" w:hRule="atLeast"/>
        </w:trPr>
        <w:tc>
          <w:tcPr>
            <w:tcW w:w="128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21102</w:t>
            </w:r>
          </w:p>
        </w:tc>
        <w:tc>
          <w:tcPr>
            <w:tcW w:w="471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环境监测与监察</w:t>
            </w:r>
          </w:p>
        </w:tc>
        <w:tc>
          <w:tcPr>
            <w:tcW w:w="149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4,403.01</w:t>
            </w:r>
          </w:p>
        </w:tc>
        <w:tc>
          <w:tcPr>
            <w:tcW w:w="117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3,209.71</w:t>
            </w:r>
          </w:p>
        </w:tc>
        <w:tc>
          <w:tcPr>
            <w:tcW w:w="1201"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0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1,193.30</w:t>
            </w:r>
          </w:p>
        </w:tc>
      </w:tr>
      <w:tr>
        <w:tblPrEx>
          <w:tblCellMar>
            <w:top w:w="0" w:type="dxa"/>
            <w:left w:w="108" w:type="dxa"/>
            <w:bottom w:w="0" w:type="dxa"/>
            <w:right w:w="108" w:type="dxa"/>
          </w:tblCellMar>
        </w:tblPrEx>
        <w:trPr>
          <w:trHeight w:val="309" w:hRule="atLeast"/>
        </w:trPr>
        <w:tc>
          <w:tcPr>
            <w:tcW w:w="128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2110299</w:t>
            </w:r>
          </w:p>
        </w:tc>
        <w:tc>
          <w:tcPr>
            <w:tcW w:w="471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xml:space="preserve">  其他环境监测与监察支出</w:t>
            </w:r>
          </w:p>
        </w:tc>
        <w:tc>
          <w:tcPr>
            <w:tcW w:w="149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4,403.01</w:t>
            </w:r>
          </w:p>
        </w:tc>
        <w:tc>
          <w:tcPr>
            <w:tcW w:w="117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3,209.71</w:t>
            </w:r>
          </w:p>
        </w:tc>
        <w:tc>
          <w:tcPr>
            <w:tcW w:w="1201"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0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1,193.30</w:t>
            </w:r>
          </w:p>
        </w:tc>
      </w:tr>
      <w:tr>
        <w:tblPrEx>
          <w:tblCellMar>
            <w:top w:w="0" w:type="dxa"/>
            <w:left w:w="108" w:type="dxa"/>
            <w:bottom w:w="0" w:type="dxa"/>
            <w:right w:w="108" w:type="dxa"/>
          </w:tblCellMar>
        </w:tblPrEx>
        <w:trPr>
          <w:trHeight w:val="309" w:hRule="atLeast"/>
        </w:trPr>
        <w:tc>
          <w:tcPr>
            <w:tcW w:w="128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21103</w:t>
            </w:r>
          </w:p>
        </w:tc>
        <w:tc>
          <w:tcPr>
            <w:tcW w:w="471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污染防治</w:t>
            </w:r>
          </w:p>
        </w:tc>
        <w:tc>
          <w:tcPr>
            <w:tcW w:w="149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11,289.00</w:t>
            </w:r>
          </w:p>
        </w:tc>
        <w:tc>
          <w:tcPr>
            <w:tcW w:w="117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7,920.35</w:t>
            </w:r>
          </w:p>
        </w:tc>
        <w:tc>
          <w:tcPr>
            <w:tcW w:w="1201"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0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3,368.66</w:t>
            </w:r>
          </w:p>
        </w:tc>
      </w:tr>
      <w:tr>
        <w:tblPrEx>
          <w:tblCellMar>
            <w:top w:w="0" w:type="dxa"/>
            <w:left w:w="108" w:type="dxa"/>
            <w:bottom w:w="0" w:type="dxa"/>
            <w:right w:w="108" w:type="dxa"/>
          </w:tblCellMar>
        </w:tblPrEx>
        <w:trPr>
          <w:trHeight w:val="309" w:hRule="atLeast"/>
        </w:trPr>
        <w:tc>
          <w:tcPr>
            <w:tcW w:w="128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2110301</w:t>
            </w:r>
          </w:p>
        </w:tc>
        <w:tc>
          <w:tcPr>
            <w:tcW w:w="471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xml:space="preserve">  大气</w:t>
            </w:r>
          </w:p>
        </w:tc>
        <w:tc>
          <w:tcPr>
            <w:tcW w:w="149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10,264.43</w:t>
            </w:r>
          </w:p>
        </w:tc>
        <w:tc>
          <w:tcPr>
            <w:tcW w:w="117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7,181.00</w:t>
            </w:r>
          </w:p>
        </w:tc>
        <w:tc>
          <w:tcPr>
            <w:tcW w:w="1201"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0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3,083.44</w:t>
            </w:r>
          </w:p>
        </w:tc>
      </w:tr>
      <w:tr>
        <w:tblPrEx>
          <w:tblCellMar>
            <w:top w:w="0" w:type="dxa"/>
            <w:left w:w="108" w:type="dxa"/>
            <w:bottom w:w="0" w:type="dxa"/>
            <w:right w:w="108" w:type="dxa"/>
          </w:tblCellMar>
        </w:tblPrEx>
        <w:trPr>
          <w:trHeight w:val="309" w:hRule="atLeast"/>
        </w:trPr>
        <w:tc>
          <w:tcPr>
            <w:tcW w:w="128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2110302</w:t>
            </w:r>
          </w:p>
        </w:tc>
        <w:tc>
          <w:tcPr>
            <w:tcW w:w="471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xml:space="preserve">  水体</w:t>
            </w:r>
          </w:p>
        </w:tc>
        <w:tc>
          <w:tcPr>
            <w:tcW w:w="149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397.63</w:t>
            </w:r>
          </w:p>
        </w:tc>
        <w:tc>
          <w:tcPr>
            <w:tcW w:w="117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361.85</w:t>
            </w:r>
          </w:p>
        </w:tc>
        <w:tc>
          <w:tcPr>
            <w:tcW w:w="1201"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0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35.78</w:t>
            </w:r>
          </w:p>
        </w:tc>
      </w:tr>
      <w:tr>
        <w:tblPrEx>
          <w:tblCellMar>
            <w:top w:w="0" w:type="dxa"/>
            <w:left w:w="108" w:type="dxa"/>
            <w:bottom w:w="0" w:type="dxa"/>
            <w:right w:w="108" w:type="dxa"/>
          </w:tblCellMar>
        </w:tblPrEx>
        <w:trPr>
          <w:trHeight w:val="309" w:hRule="atLeast"/>
        </w:trPr>
        <w:tc>
          <w:tcPr>
            <w:tcW w:w="128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2110303</w:t>
            </w:r>
          </w:p>
        </w:tc>
        <w:tc>
          <w:tcPr>
            <w:tcW w:w="471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xml:space="preserve">  噪声</w:t>
            </w:r>
          </w:p>
        </w:tc>
        <w:tc>
          <w:tcPr>
            <w:tcW w:w="149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0.70</w:t>
            </w:r>
          </w:p>
        </w:tc>
        <w:tc>
          <w:tcPr>
            <w:tcW w:w="117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01"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0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0.70</w:t>
            </w:r>
          </w:p>
        </w:tc>
      </w:tr>
      <w:tr>
        <w:tblPrEx>
          <w:tblCellMar>
            <w:top w:w="0" w:type="dxa"/>
            <w:left w:w="108" w:type="dxa"/>
            <w:bottom w:w="0" w:type="dxa"/>
            <w:right w:w="108" w:type="dxa"/>
          </w:tblCellMar>
        </w:tblPrEx>
        <w:trPr>
          <w:trHeight w:val="309" w:hRule="atLeast"/>
        </w:trPr>
        <w:tc>
          <w:tcPr>
            <w:tcW w:w="128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2110399</w:t>
            </w:r>
          </w:p>
        </w:tc>
        <w:tc>
          <w:tcPr>
            <w:tcW w:w="471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xml:space="preserve">  其他污染防治支出</w:t>
            </w:r>
          </w:p>
        </w:tc>
        <w:tc>
          <w:tcPr>
            <w:tcW w:w="149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626.24</w:t>
            </w:r>
          </w:p>
        </w:tc>
        <w:tc>
          <w:tcPr>
            <w:tcW w:w="117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377.50</w:t>
            </w:r>
          </w:p>
        </w:tc>
        <w:tc>
          <w:tcPr>
            <w:tcW w:w="1201"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0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248.74</w:t>
            </w:r>
          </w:p>
        </w:tc>
      </w:tr>
      <w:tr>
        <w:tblPrEx>
          <w:tblCellMar>
            <w:top w:w="0" w:type="dxa"/>
            <w:left w:w="108" w:type="dxa"/>
            <w:bottom w:w="0" w:type="dxa"/>
            <w:right w:w="108" w:type="dxa"/>
          </w:tblCellMar>
        </w:tblPrEx>
        <w:trPr>
          <w:trHeight w:val="309" w:hRule="atLeast"/>
        </w:trPr>
        <w:tc>
          <w:tcPr>
            <w:tcW w:w="128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21104</w:t>
            </w:r>
          </w:p>
        </w:tc>
        <w:tc>
          <w:tcPr>
            <w:tcW w:w="471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自然生态保护</w:t>
            </w:r>
          </w:p>
        </w:tc>
        <w:tc>
          <w:tcPr>
            <w:tcW w:w="149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5.96</w:t>
            </w:r>
          </w:p>
        </w:tc>
        <w:tc>
          <w:tcPr>
            <w:tcW w:w="117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01"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0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5.96</w:t>
            </w:r>
          </w:p>
        </w:tc>
      </w:tr>
      <w:tr>
        <w:tblPrEx>
          <w:tblCellMar>
            <w:top w:w="0" w:type="dxa"/>
            <w:left w:w="108" w:type="dxa"/>
            <w:bottom w:w="0" w:type="dxa"/>
            <w:right w:w="108" w:type="dxa"/>
          </w:tblCellMar>
        </w:tblPrEx>
        <w:trPr>
          <w:trHeight w:val="309" w:hRule="atLeast"/>
        </w:trPr>
        <w:tc>
          <w:tcPr>
            <w:tcW w:w="128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2110499</w:t>
            </w:r>
          </w:p>
        </w:tc>
        <w:tc>
          <w:tcPr>
            <w:tcW w:w="471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xml:space="preserve">  其他自然生态保护支出</w:t>
            </w:r>
          </w:p>
        </w:tc>
        <w:tc>
          <w:tcPr>
            <w:tcW w:w="149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5.96</w:t>
            </w:r>
          </w:p>
        </w:tc>
        <w:tc>
          <w:tcPr>
            <w:tcW w:w="117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01"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0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5.96</w:t>
            </w:r>
          </w:p>
        </w:tc>
      </w:tr>
      <w:tr>
        <w:tblPrEx>
          <w:tblCellMar>
            <w:top w:w="0" w:type="dxa"/>
            <w:left w:w="108" w:type="dxa"/>
            <w:bottom w:w="0" w:type="dxa"/>
            <w:right w:w="108" w:type="dxa"/>
          </w:tblCellMar>
        </w:tblPrEx>
        <w:trPr>
          <w:trHeight w:val="309" w:hRule="atLeast"/>
        </w:trPr>
        <w:tc>
          <w:tcPr>
            <w:tcW w:w="128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212</w:t>
            </w:r>
          </w:p>
        </w:tc>
        <w:tc>
          <w:tcPr>
            <w:tcW w:w="471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城乡社区支出</w:t>
            </w:r>
          </w:p>
        </w:tc>
        <w:tc>
          <w:tcPr>
            <w:tcW w:w="149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143.64</w:t>
            </w:r>
          </w:p>
        </w:tc>
        <w:tc>
          <w:tcPr>
            <w:tcW w:w="117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01"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0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143.64</w:t>
            </w:r>
          </w:p>
        </w:tc>
      </w:tr>
      <w:tr>
        <w:tblPrEx>
          <w:tblCellMar>
            <w:top w:w="0" w:type="dxa"/>
            <w:left w:w="108" w:type="dxa"/>
            <w:bottom w:w="0" w:type="dxa"/>
            <w:right w:w="108" w:type="dxa"/>
          </w:tblCellMar>
        </w:tblPrEx>
        <w:trPr>
          <w:trHeight w:val="309" w:hRule="atLeast"/>
        </w:trPr>
        <w:tc>
          <w:tcPr>
            <w:tcW w:w="128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21208</w:t>
            </w:r>
          </w:p>
        </w:tc>
        <w:tc>
          <w:tcPr>
            <w:tcW w:w="471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国有土地使用权出让收入及对应专项债务收入安排的支出</w:t>
            </w:r>
          </w:p>
        </w:tc>
        <w:tc>
          <w:tcPr>
            <w:tcW w:w="149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78.04</w:t>
            </w:r>
          </w:p>
        </w:tc>
        <w:tc>
          <w:tcPr>
            <w:tcW w:w="117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01"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0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78.04</w:t>
            </w:r>
          </w:p>
        </w:tc>
      </w:tr>
      <w:tr>
        <w:tblPrEx>
          <w:tblCellMar>
            <w:top w:w="0" w:type="dxa"/>
            <w:left w:w="108" w:type="dxa"/>
            <w:bottom w:w="0" w:type="dxa"/>
            <w:right w:w="108" w:type="dxa"/>
          </w:tblCellMar>
        </w:tblPrEx>
        <w:trPr>
          <w:trHeight w:val="309" w:hRule="atLeast"/>
        </w:trPr>
        <w:tc>
          <w:tcPr>
            <w:tcW w:w="128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2120801</w:t>
            </w:r>
          </w:p>
        </w:tc>
        <w:tc>
          <w:tcPr>
            <w:tcW w:w="471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xml:space="preserve">  征地和拆迁补偿支出</w:t>
            </w:r>
          </w:p>
        </w:tc>
        <w:tc>
          <w:tcPr>
            <w:tcW w:w="149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78.04</w:t>
            </w:r>
          </w:p>
        </w:tc>
        <w:tc>
          <w:tcPr>
            <w:tcW w:w="117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01"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0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78.04</w:t>
            </w:r>
          </w:p>
        </w:tc>
      </w:tr>
      <w:tr>
        <w:tblPrEx>
          <w:tblCellMar>
            <w:top w:w="0" w:type="dxa"/>
            <w:left w:w="108" w:type="dxa"/>
            <w:bottom w:w="0" w:type="dxa"/>
            <w:right w:w="108" w:type="dxa"/>
          </w:tblCellMar>
        </w:tblPrEx>
        <w:trPr>
          <w:trHeight w:val="309" w:hRule="atLeast"/>
        </w:trPr>
        <w:tc>
          <w:tcPr>
            <w:tcW w:w="128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21299</w:t>
            </w:r>
          </w:p>
        </w:tc>
        <w:tc>
          <w:tcPr>
            <w:tcW w:w="471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其他城乡社区支出</w:t>
            </w:r>
          </w:p>
        </w:tc>
        <w:tc>
          <w:tcPr>
            <w:tcW w:w="149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65.60</w:t>
            </w:r>
          </w:p>
        </w:tc>
        <w:tc>
          <w:tcPr>
            <w:tcW w:w="117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01"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0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65.60</w:t>
            </w:r>
          </w:p>
        </w:tc>
      </w:tr>
      <w:tr>
        <w:tblPrEx>
          <w:tblCellMar>
            <w:top w:w="0" w:type="dxa"/>
            <w:left w:w="108" w:type="dxa"/>
            <w:bottom w:w="0" w:type="dxa"/>
            <w:right w:w="108" w:type="dxa"/>
          </w:tblCellMar>
        </w:tblPrEx>
        <w:trPr>
          <w:trHeight w:val="309" w:hRule="atLeast"/>
        </w:trPr>
        <w:tc>
          <w:tcPr>
            <w:tcW w:w="128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2129999</w:t>
            </w:r>
          </w:p>
        </w:tc>
        <w:tc>
          <w:tcPr>
            <w:tcW w:w="471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xml:space="preserve">  其他城乡社区支出</w:t>
            </w:r>
          </w:p>
        </w:tc>
        <w:tc>
          <w:tcPr>
            <w:tcW w:w="149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65.60</w:t>
            </w:r>
          </w:p>
        </w:tc>
        <w:tc>
          <w:tcPr>
            <w:tcW w:w="117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01"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0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65.60</w:t>
            </w:r>
          </w:p>
        </w:tc>
      </w:tr>
      <w:tr>
        <w:tblPrEx>
          <w:tblCellMar>
            <w:top w:w="0" w:type="dxa"/>
            <w:left w:w="108" w:type="dxa"/>
            <w:bottom w:w="0" w:type="dxa"/>
            <w:right w:w="108" w:type="dxa"/>
          </w:tblCellMar>
        </w:tblPrEx>
        <w:trPr>
          <w:trHeight w:val="309" w:hRule="atLeast"/>
        </w:trPr>
        <w:tc>
          <w:tcPr>
            <w:tcW w:w="128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213</w:t>
            </w:r>
          </w:p>
        </w:tc>
        <w:tc>
          <w:tcPr>
            <w:tcW w:w="471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农林水支出</w:t>
            </w:r>
          </w:p>
        </w:tc>
        <w:tc>
          <w:tcPr>
            <w:tcW w:w="149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2.00</w:t>
            </w:r>
          </w:p>
        </w:tc>
        <w:tc>
          <w:tcPr>
            <w:tcW w:w="117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01"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0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2.00</w:t>
            </w:r>
          </w:p>
        </w:tc>
      </w:tr>
      <w:tr>
        <w:tblPrEx>
          <w:tblCellMar>
            <w:top w:w="0" w:type="dxa"/>
            <w:left w:w="108" w:type="dxa"/>
            <w:bottom w:w="0" w:type="dxa"/>
            <w:right w:w="108" w:type="dxa"/>
          </w:tblCellMar>
        </w:tblPrEx>
        <w:trPr>
          <w:trHeight w:val="309" w:hRule="atLeast"/>
        </w:trPr>
        <w:tc>
          <w:tcPr>
            <w:tcW w:w="128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21302</w:t>
            </w:r>
          </w:p>
        </w:tc>
        <w:tc>
          <w:tcPr>
            <w:tcW w:w="471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林业</w:t>
            </w:r>
          </w:p>
        </w:tc>
        <w:tc>
          <w:tcPr>
            <w:tcW w:w="149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2.00</w:t>
            </w:r>
          </w:p>
        </w:tc>
        <w:tc>
          <w:tcPr>
            <w:tcW w:w="117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01"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0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2.00</w:t>
            </w:r>
          </w:p>
        </w:tc>
      </w:tr>
      <w:tr>
        <w:tblPrEx>
          <w:tblCellMar>
            <w:top w:w="0" w:type="dxa"/>
            <w:left w:w="108" w:type="dxa"/>
            <w:bottom w:w="0" w:type="dxa"/>
            <w:right w:w="108" w:type="dxa"/>
          </w:tblCellMar>
        </w:tblPrEx>
        <w:trPr>
          <w:trHeight w:val="309" w:hRule="atLeast"/>
        </w:trPr>
        <w:tc>
          <w:tcPr>
            <w:tcW w:w="128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2130205</w:t>
            </w:r>
          </w:p>
        </w:tc>
        <w:tc>
          <w:tcPr>
            <w:tcW w:w="471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xml:space="preserve">  森林培育</w:t>
            </w:r>
          </w:p>
        </w:tc>
        <w:tc>
          <w:tcPr>
            <w:tcW w:w="149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2.00</w:t>
            </w:r>
          </w:p>
        </w:tc>
        <w:tc>
          <w:tcPr>
            <w:tcW w:w="117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01"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0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2.00</w:t>
            </w:r>
          </w:p>
        </w:tc>
      </w:tr>
      <w:tr>
        <w:tblPrEx>
          <w:tblCellMar>
            <w:top w:w="0" w:type="dxa"/>
            <w:left w:w="108" w:type="dxa"/>
            <w:bottom w:w="0" w:type="dxa"/>
            <w:right w:w="108" w:type="dxa"/>
          </w:tblCellMar>
        </w:tblPrEx>
        <w:trPr>
          <w:trHeight w:val="309" w:hRule="atLeast"/>
        </w:trPr>
        <w:tc>
          <w:tcPr>
            <w:tcW w:w="128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221</w:t>
            </w:r>
          </w:p>
        </w:tc>
        <w:tc>
          <w:tcPr>
            <w:tcW w:w="471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住房保障支出</w:t>
            </w:r>
          </w:p>
        </w:tc>
        <w:tc>
          <w:tcPr>
            <w:tcW w:w="149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775.16</w:t>
            </w:r>
          </w:p>
        </w:tc>
        <w:tc>
          <w:tcPr>
            <w:tcW w:w="117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763.96</w:t>
            </w:r>
          </w:p>
        </w:tc>
        <w:tc>
          <w:tcPr>
            <w:tcW w:w="1201"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0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11.20</w:t>
            </w:r>
          </w:p>
        </w:tc>
      </w:tr>
      <w:tr>
        <w:tblPrEx>
          <w:tblCellMar>
            <w:top w:w="0" w:type="dxa"/>
            <w:left w:w="108" w:type="dxa"/>
            <w:bottom w:w="0" w:type="dxa"/>
            <w:right w:w="108" w:type="dxa"/>
          </w:tblCellMar>
        </w:tblPrEx>
        <w:trPr>
          <w:trHeight w:val="309" w:hRule="atLeast"/>
        </w:trPr>
        <w:tc>
          <w:tcPr>
            <w:tcW w:w="128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22102</w:t>
            </w:r>
          </w:p>
        </w:tc>
        <w:tc>
          <w:tcPr>
            <w:tcW w:w="471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住房改革支出</w:t>
            </w:r>
          </w:p>
        </w:tc>
        <w:tc>
          <w:tcPr>
            <w:tcW w:w="149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775.16</w:t>
            </w:r>
          </w:p>
        </w:tc>
        <w:tc>
          <w:tcPr>
            <w:tcW w:w="117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763.96</w:t>
            </w:r>
          </w:p>
        </w:tc>
        <w:tc>
          <w:tcPr>
            <w:tcW w:w="1201"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0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11.20</w:t>
            </w:r>
          </w:p>
        </w:tc>
      </w:tr>
      <w:tr>
        <w:tblPrEx>
          <w:tblCellMar>
            <w:top w:w="0" w:type="dxa"/>
            <w:left w:w="108" w:type="dxa"/>
            <w:bottom w:w="0" w:type="dxa"/>
            <w:right w:w="108" w:type="dxa"/>
          </w:tblCellMar>
        </w:tblPrEx>
        <w:trPr>
          <w:trHeight w:val="309" w:hRule="atLeast"/>
        </w:trPr>
        <w:tc>
          <w:tcPr>
            <w:tcW w:w="128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2210201</w:t>
            </w:r>
          </w:p>
        </w:tc>
        <w:tc>
          <w:tcPr>
            <w:tcW w:w="471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xml:space="preserve">  住房公积金</w:t>
            </w:r>
          </w:p>
        </w:tc>
        <w:tc>
          <w:tcPr>
            <w:tcW w:w="149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775.16</w:t>
            </w:r>
          </w:p>
        </w:tc>
        <w:tc>
          <w:tcPr>
            <w:tcW w:w="117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763.96</w:t>
            </w:r>
          </w:p>
        </w:tc>
        <w:tc>
          <w:tcPr>
            <w:tcW w:w="1201"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2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0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76"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11.20</w:t>
            </w:r>
          </w:p>
        </w:tc>
      </w:tr>
      <w:tr>
        <w:tblPrEx>
          <w:tblCellMar>
            <w:top w:w="0" w:type="dxa"/>
            <w:left w:w="108" w:type="dxa"/>
            <w:bottom w:w="0" w:type="dxa"/>
            <w:right w:w="108" w:type="dxa"/>
          </w:tblCellMar>
        </w:tblPrEx>
        <w:trPr>
          <w:trHeight w:val="309" w:hRule="atLeast"/>
        </w:trPr>
        <w:tc>
          <w:tcPr>
            <w:tcW w:w="13992" w:type="dxa"/>
            <w:gridSpan w:val="11"/>
            <w:tcBorders>
              <w:top w:val="nil"/>
              <w:left w:val="nil"/>
              <w:bottom w:val="nil"/>
              <w:right w:val="nil"/>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注：本表反映部门本年度取得的各项收入情况。</w:t>
            </w:r>
          </w:p>
        </w:tc>
      </w:tr>
      <w:tr>
        <w:tblPrEx>
          <w:tblCellMar>
            <w:top w:w="0" w:type="dxa"/>
            <w:left w:w="108" w:type="dxa"/>
            <w:bottom w:w="0" w:type="dxa"/>
            <w:right w:w="108" w:type="dxa"/>
          </w:tblCellMar>
        </w:tblPrEx>
        <w:trPr>
          <w:trHeight w:val="264" w:hRule="atLeast"/>
        </w:trPr>
        <w:tc>
          <w:tcPr>
            <w:tcW w:w="12516" w:type="dxa"/>
            <w:gridSpan w:val="10"/>
            <w:vMerge w:val="restart"/>
            <w:tcBorders>
              <w:top w:val="nil"/>
              <w:left w:val="nil"/>
              <w:right w:val="nil"/>
            </w:tcBorders>
            <w:shd w:val="clear" w:color="auto" w:fill="auto"/>
            <w:noWrap/>
            <w:vAlign w:val="center"/>
          </w:tcPr>
          <w:p>
            <w:pPr>
              <w:spacing w:after="0" w:line="240" w:lineRule="auto"/>
              <w:jc w:val="center"/>
              <w:rPr>
                <w:rFonts w:eastAsia="Times New Roman"/>
                <w:kern w:val="0"/>
                <w:sz w:val="18"/>
                <w:szCs w:val="18"/>
              </w:rPr>
            </w:pPr>
            <w:r>
              <w:rPr>
                <w:rFonts w:hint="eastAsia" w:ascii="宋体" w:hAnsi="宋体" w:cs="Arial"/>
                <w:color w:val="000000"/>
                <w:kern w:val="0"/>
                <w:sz w:val="18"/>
                <w:szCs w:val="18"/>
              </w:rPr>
              <w:t>—2 —</w:t>
            </w:r>
          </w:p>
        </w:tc>
        <w:tc>
          <w:tcPr>
            <w:tcW w:w="1476" w:type="dxa"/>
            <w:tcBorders>
              <w:top w:val="nil"/>
              <w:left w:val="nil"/>
              <w:bottom w:val="nil"/>
              <w:right w:val="nil"/>
            </w:tcBorders>
            <w:shd w:val="clear" w:color="auto" w:fill="auto"/>
            <w:noWrap/>
            <w:vAlign w:val="center"/>
          </w:tcPr>
          <w:p>
            <w:pPr>
              <w:widowControl/>
              <w:spacing w:after="0" w:line="240" w:lineRule="auto"/>
              <w:jc w:val="center"/>
              <w:rPr>
                <w:rFonts w:eastAsia="Times New Roman"/>
                <w:kern w:val="0"/>
                <w:sz w:val="18"/>
                <w:szCs w:val="18"/>
              </w:rPr>
            </w:pPr>
          </w:p>
        </w:tc>
      </w:tr>
      <w:tr>
        <w:tblPrEx>
          <w:tblCellMar>
            <w:top w:w="0" w:type="dxa"/>
            <w:left w:w="108" w:type="dxa"/>
            <w:bottom w:w="0" w:type="dxa"/>
            <w:right w:w="108" w:type="dxa"/>
          </w:tblCellMar>
        </w:tblPrEx>
        <w:trPr>
          <w:trHeight w:val="264" w:hRule="atLeast"/>
        </w:trPr>
        <w:tc>
          <w:tcPr>
            <w:tcW w:w="12516" w:type="dxa"/>
            <w:gridSpan w:val="10"/>
            <w:vMerge w:val="continue"/>
            <w:tcBorders>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476"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r>
    </w:tbl>
    <w:p>
      <w:pPr>
        <w:widowControl/>
        <w:spacing w:after="0" w:line="560" w:lineRule="exact"/>
        <w:jc w:val="left"/>
        <w:rPr>
          <w:rFonts w:ascii="仿宋_GB2312" w:hAnsi="宋体" w:eastAsia="仿宋_GB2312"/>
          <w:b/>
          <w:sz w:val="28"/>
          <w:szCs w:val="28"/>
          <w:highlight w:val="yellow"/>
        </w:rPr>
      </w:pPr>
    </w:p>
    <w:p>
      <w:pPr>
        <w:widowControl/>
        <w:spacing w:after="0" w:line="560" w:lineRule="exact"/>
        <w:ind w:firstLine="560" w:firstLineChars="200"/>
        <w:jc w:val="left"/>
        <w:rPr>
          <w:rFonts w:ascii="仿宋_GB2312" w:hAnsi="宋体" w:eastAsiaTheme="minorEastAsia"/>
          <w:b/>
          <w:sz w:val="28"/>
          <w:szCs w:val="28"/>
          <w:highlight w:val="yellow"/>
        </w:rPr>
      </w:pPr>
    </w:p>
    <w:p>
      <w:pPr>
        <w:widowControl/>
        <w:spacing w:after="0" w:line="560" w:lineRule="exact"/>
        <w:ind w:firstLine="560" w:firstLineChars="200"/>
        <w:jc w:val="left"/>
        <w:rPr>
          <w:rFonts w:ascii="仿宋_GB2312" w:hAnsi="宋体" w:eastAsiaTheme="minorEastAsia"/>
          <w:b/>
          <w:sz w:val="28"/>
          <w:szCs w:val="28"/>
          <w:highlight w:val="yellow"/>
        </w:rPr>
      </w:pPr>
    </w:p>
    <w:p>
      <w:pPr>
        <w:widowControl/>
        <w:spacing w:after="0" w:line="560" w:lineRule="exact"/>
        <w:ind w:firstLine="560" w:firstLineChars="200"/>
        <w:jc w:val="left"/>
        <w:rPr>
          <w:rFonts w:ascii="仿宋_GB2312" w:hAnsi="宋体" w:eastAsiaTheme="minorEastAsia"/>
          <w:b/>
          <w:sz w:val="28"/>
          <w:szCs w:val="28"/>
          <w:highlight w:val="yellow"/>
        </w:rPr>
      </w:pPr>
    </w:p>
    <w:p>
      <w:pPr>
        <w:widowControl/>
        <w:spacing w:after="0" w:line="560" w:lineRule="exact"/>
        <w:ind w:firstLine="560" w:firstLineChars="200"/>
        <w:jc w:val="left"/>
        <w:rPr>
          <w:rFonts w:ascii="仿宋_GB2312" w:hAnsi="宋体" w:eastAsiaTheme="minorEastAsia"/>
          <w:b/>
          <w:sz w:val="28"/>
          <w:szCs w:val="28"/>
          <w:highlight w:val="yellow"/>
        </w:rPr>
      </w:pPr>
    </w:p>
    <w:p>
      <w:pPr>
        <w:widowControl/>
        <w:spacing w:after="0" w:line="560" w:lineRule="exact"/>
        <w:ind w:firstLine="560" w:firstLineChars="200"/>
        <w:jc w:val="left"/>
        <w:rPr>
          <w:rFonts w:ascii="仿宋_GB2312" w:hAnsi="宋体" w:eastAsiaTheme="minorEastAsia"/>
          <w:b/>
          <w:sz w:val="28"/>
          <w:szCs w:val="28"/>
          <w:highlight w:val="yellow"/>
        </w:rPr>
      </w:pPr>
    </w:p>
    <w:p>
      <w:pPr>
        <w:widowControl/>
        <w:spacing w:after="0" w:line="560" w:lineRule="exact"/>
        <w:ind w:firstLine="560" w:firstLineChars="200"/>
        <w:jc w:val="left"/>
        <w:rPr>
          <w:rFonts w:ascii="仿宋_GB2312" w:hAnsi="宋体" w:eastAsiaTheme="minorEastAsia"/>
          <w:b/>
          <w:sz w:val="28"/>
          <w:szCs w:val="28"/>
          <w:highlight w:val="yellow"/>
        </w:rPr>
      </w:pPr>
    </w:p>
    <w:p>
      <w:pPr>
        <w:widowControl/>
        <w:spacing w:after="0" w:line="560" w:lineRule="exact"/>
        <w:ind w:firstLine="560" w:firstLineChars="200"/>
        <w:jc w:val="left"/>
        <w:rPr>
          <w:rFonts w:ascii="仿宋_GB2312" w:hAnsi="宋体" w:eastAsiaTheme="minorEastAsia"/>
          <w:b/>
          <w:sz w:val="28"/>
          <w:szCs w:val="28"/>
          <w:highlight w:val="yellow"/>
        </w:rPr>
      </w:pPr>
    </w:p>
    <w:tbl>
      <w:tblPr>
        <w:tblStyle w:val="12"/>
        <w:tblW w:w="13992" w:type="dxa"/>
        <w:tblInd w:w="0" w:type="dxa"/>
        <w:tblLayout w:type="fixed"/>
        <w:tblCellMar>
          <w:top w:w="0" w:type="dxa"/>
          <w:left w:w="108" w:type="dxa"/>
          <w:bottom w:w="0" w:type="dxa"/>
          <w:right w:w="108" w:type="dxa"/>
        </w:tblCellMar>
      </w:tblPr>
      <w:tblGrid>
        <w:gridCol w:w="559"/>
        <w:gridCol w:w="559"/>
        <w:gridCol w:w="560"/>
        <w:gridCol w:w="4780"/>
        <w:gridCol w:w="1312"/>
        <w:gridCol w:w="1047"/>
        <w:gridCol w:w="1047"/>
        <w:gridCol w:w="1312"/>
        <w:gridCol w:w="949"/>
        <w:gridCol w:w="1867"/>
      </w:tblGrid>
      <w:tr>
        <w:tblPrEx>
          <w:tblCellMar>
            <w:top w:w="0" w:type="dxa"/>
            <w:left w:w="108" w:type="dxa"/>
            <w:bottom w:w="0" w:type="dxa"/>
            <w:right w:w="108" w:type="dxa"/>
          </w:tblCellMar>
        </w:tblPrEx>
        <w:trPr>
          <w:trHeight w:val="384" w:hRule="atLeast"/>
        </w:trPr>
        <w:tc>
          <w:tcPr>
            <w:tcW w:w="13992" w:type="dxa"/>
            <w:gridSpan w:val="10"/>
            <w:tcBorders>
              <w:top w:val="nil"/>
              <w:left w:val="nil"/>
              <w:bottom w:val="nil"/>
              <w:right w:val="nil"/>
            </w:tcBorders>
            <w:shd w:val="clear" w:color="auto" w:fill="auto"/>
            <w:noWrap/>
            <w:vAlign w:val="center"/>
          </w:tcPr>
          <w:p>
            <w:pPr>
              <w:widowControl/>
              <w:spacing w:after="0" w:line="240" w:lineRule="auto"/>
              <w:jc w:val="center"/>
              <w:rPr>
                <w:rFonts w:eastAsia="Times New Roman"/>
                <w:b/>
                <w:bCs/>
                <w:kern w:val="0"/>
                <w:sz w:val="30"/>
                <w:szCs w:val="30"/>
              </w:rPr>
            </w:pPr>
            <w:r>
              <w:rPr>
                <w:rFonts w:hint="eastAsia" w:ascii="宋体" w:hAnsi="宋体" w:cs="Arial"/>
                <w:b/>
                <w:bCs/>
                <w:color w:val="000000"/>
                <w:kern w:val="0"/>
                <w:sz w:val="30"/>
                <w:szCs w:val="30"/>
              </w:rPr>
              <w:t>支出决算表</w:t>
            </w:r>
          </w:p>
        </w:tc>
      </w:tr>
      <w:tr>
        <w:tblPrEx>
          <w:tblCellMar>
            <w:top w:w="0" w:type="dxa"/>
            <w:left w:w="108" w:type="dxa"/>
            <w:bottom w:w="0" w:type="dxa"/>
            <w:right w:w="108" w:type="dxa"/>
          </w:tblCellMar>
        </w:tblPrEx>
        <w:trPr>
          <w:trHeight w:val="264" w:hRule="atLeast"/>
        </w:trPr>
        <w:tc>
          <w:tcPr>
            <w:tcW w:w="559"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559"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560"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4780"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312"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047"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047"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312"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949"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867" w:type="dxa"/>
            <w:tcBorders>
              <w:top w:val="nil"/>
              <w:left w:val="nil"/>
              <w:bottom w:val="nil"/>
              <w:right w:val="nil"/>
            </w:tcBorders>
            <w:shd w:val="clear" w:color="auto" w:fill="auto"/>
            <w:noWrap/>
            <w:vAlign w:val="bottom"/>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公开03表</w:t>
            </w:r>
          </w:p>
        </w:tc>
      </w:tr>
      <w:tr>
        <w:tblPrEx>
          <w:tblCellMar>
            <w:top w:w="0" w:type="dxa"/>
            <w:left w:w="108" w:type="dxa"/>
            <w:bottom w:w="0" w:type="dxa"/>
            <w:right w:w="108" w:type="dxa"/>
          </w:tblCellMar>
        </w:tblPrEx>
        <w:trPr>
          <w:trHeight w:val="264" w:hRule="atLeast"/>
        </w:trPr>
        <w:tc>
          <w:tcPr>
            <w:tcW w:w="6458" w:type="dxa"/>
            <w:gridSpan w:val="4"/>
            <w:tcBorders>
              <w:top w:val="nil"/>
              <w:left w:val="nil"/>
              <w:bottom w:val="nil"/>
              <w:right w:val="nil"/>
            </w:tcBorders>
            <w:shd w:val="clear" w:color="auto" w:fill="auto"/>
            <w:noWrap/>
            <w:vAlign w:val="bottom"/>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部门：唐山市环境保护局系统（汇总）</w:t>
            </w:r>
          </w:p>
        </w:tc>
        <w:tc>
          <w:tcPr>
            <w:tcW w:w="1312" w:type="dxa"/>
            <w:tcBorders>
              <w:top w:val="nil"/>
              <w:left w:val="nil"/>
              <w:bottom w:val="nil"/>
              <w:right w:val="nil"/>
            </w:tcBorders>
            <w:shd w:val="clear" w:color="auto" w:fill="auto"/>
            <w:noWrap/>
            <w:vAlign w:val="bottom"/>
          </w:tcPr>
          <w:p>
            <w:pPr>
              <w:widowControl/>
              <w:spacing w:after="0" w:line="240" w:lineRule="auto"/>
              <w:jc w:val="left"/>
              <w:rPr>
                <w:rFonts w:ascii="宋体" w:hAnsi="宋体" w:cs="Arial"/>
                <w:color w:val="000000"/>
                <w:kern w:val="0"/>
                <w:sz w:val="18"/>
                <w:szCs w:val="18"/>
              </w:rPr>
            </w:pPr>
          </w:p>
        </w:tc>
        <w:tc>
          <w:tcPr>
            <w:tcW w:w="1047"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047"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312"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949"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867" w:type="dxa"/>
            <w:tcBorders>
              <w:top w:val="nil"/>
              <w:left w:val="nil"/>
              <w:bottom w:val="nil"/>
              <w:right w:val="nil"/>
            </w:tcBorders>
            <w:shd w:val="clear" w:color="auto" w:fill="auto"/>
            <w:noWrap/>
            <w:vAlign w:val="bottom"/>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金额单位：万元</w:t>
            </w:r>
          </w:p>
        </w:tc>
      </w:tr>
      <w:tr>
        <w:tblPrEx>
          <w:tblCellMar>
            <w:top w:w="0" w:type="dxa"/>
            <w:left w:w="108" w:type="dxa"/>
            <w:bottom w:w="0" w:type="dxa"/>
            <w:right w:w="108" w:type="dxa"/>
          </w:tblCellMar>
        </w:tblPrEx>
        <w:trPr>
          <w:trHeight w:val="309" w:hRule="atLeast"/>
        </w:trPr>
        <w:tc>
          <w:tcPr>
            <w:tcW w:w="6458"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1312"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本年支出合计</w:t>
            </w:r>
          </w:p>
        </w:tc>
        <w:tc>
          <w:tcPr>
            <w:tcW w:w="1047"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基本支出</w:t>
            </w:r>
          </w:p>
        </w:tc>
        <w:tc>
          <w:tcPr>
            <w:tcW w:w="1047"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项目支出</w:t>
            </w:r>
          </w:p>
        </w:tc>
        <w:tc>
          <w:tcPr>
            <w:tcW w:w="1312"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上缴上级支出</w:t>
            </w:r>
          </w:p>
        </w:tc>
        <w:tc>
          <w:tcPr>
            <w:tcW w:w="949"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经营支出</w:t>
            </w:r>
          </w:p>
        </w:tc>
        <w:tc>
          <w:tcPr>
            <w:tcW w:w="1867"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对附属单位补助支出</w:t>
            </w:r>
          </w:p>
        </w:tc>
      </w:tr>
      <w:tr>
        <w:tblPrEx>
          <w:tblCellMar>
            <w:top w:w="0" w:type="dxa"/>
            <w:left w:w="108" w:type="dxa"/>
            <w:bottom w:w="0" w:type="dxa"/>
            <w:right w:w="108" w:type="dxa"/>
          </w:tblCellMar>
        </w:tblPrEx>
        <w:trPr>
          <w:trHeight w:val="312" w:hRule="atLeast"/>
        </w:trPr>
        <w:tc>
          <w:tcPr>
            <w:tcW w:w="1678"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功能分类科目编码</w:t>
            </w:r>
          </w:p>
        </w:tc>
        <w:tc>
          <w:tcPr>
            <w:tcW w:w="4780" w:type="dxa"/>
            <w:vMerge w:val="restart"/>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科目名称</w:t>
            </w:r>
          </w:p>
        </w:tc>
        <w:tc>
          <w:tcPr>
            <w:tcW w:w="1312" w:type="dxa"/>
            <w:vMerge w:val="continue"/>
            <w:tcBorders>
              <w:top w:val="single" w:color="000000" w:sz="4" w:space="0"/>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1047" w:type="dxa"/>
            <w:vMerge w:val="continue"/>
            <w:tcBorders>
              <w:top w:val="single" w:color="000000" w:sz="4" w:space="0"/>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1047" w:type="dxa"/>
            <w:vMerge w:val="continue"/>
            <w:tcBorders>
              <w:top w:val="single" w:color="000000" w:sz="4" w:space="0"/>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1312" w:type="dxa"/>
            <w:vMerge w:val="continue"/>
            <w:tcBorders>
              <w:top w:val="single" w:color="000000" w:sz="4" w:space="0"/>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949" w:type="dxa"/>
            <w:vMerge w:val="continue"/>
            <w:tcBorders>
              <w:top w:val="single" w:color="000000" w:sz="4" w:space="0"/>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1867" w:type="dxa"/>
            <w:vMerge w:val="continue"/>
            <w:tcBorders>
              <w:top w:val="single" w:color="000000" w:sz="4" w:space="0"/>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r>
      <w:tr>
        <w:tblPrEx>
          <w:tblCellMar>
            <w:top w:w="0" w:type="dxa"/>
            <w:left w:w="108" w:type="dxa"/>
            <w:bottom w:w="0" w:type="dxa"/>
            <w:right w:w="108" w:type="dxa"/>
          </w:tblCellMar>
        </w:tblPrEx>
        <w:trPr>
          <w:trHeight w:val="312" w:hRule="atLeast"/>
        </w:trPr>
        <w:tc>
          <w:tcPr>
            <w:tcW w:w="1678" w:type="dxa"/>
            <w:gridSpan w:val="3"/>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4780"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1312" w:type="dxa"/>
            <w:vMerge w:val="continue"/>
            <w:tcBorders>
              <w:top w:val="single" w:color="000000" w:sz="4" w:space="0"/>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1047" w:type="dxa"/>
            <w:vMerge w:val="continue"/>
            <w:tcBorders>
              <w:top w:val="single" w:color="000000" w:sz="4" w:space="0"/>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1047" w:type="dxa"/>
            <w:vMerge w:val="continue"/>
            <w:tcBorders>
              <w:top w:val="single" w:color="000000" w:sz="4" w:space="0"/>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1312" w:type="dxa"/>
            <w:vMerge w:val="continue"/>
            <w:tcBorders>
              <w:top w:val="single" w:color="000000" w:sz="4" w:space="0"/>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949" w:type="dxa"/>
            <w:vMerge w:val="continue"/>
            <w:tcBorders>
              <w:top w:val="single" w:color="000000" w:sz="4" w:space="0"/>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1867" w:type="dxa"/>
            <w:vMerge w:val="continue"/>
            <w:tcBorders>
              <w:top w:val="single" w:color="000000" w:sz="4" w:space="0"/>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r>
      <w:tr>
        <w:tblPrEx>
          <w:tblCellMar>
            <w:top w:w="0" w:type="dxa"/>
            <w:left w:w="108" w:type="dxa"/>
            <w:bottom w:w="0" w:type="dxa"/>
            <w:right w:w="108" w:type="dxa"/>
          </w:tblCellMar>
        </w:tblPrEx>
        <w:trPr>
          <w:trHeight w:val="312" w:hRule="atLeast"/>
        </w:trPr>
        <w:tc>
          <w:tcPr>
            <w:tcW w:w="1678" w:type="dxa"/>
            <w:gridSpan w:val="3"/>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4780"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1312" w:type="dxa"/>
            <w:vMerge w:val="continue"/>
            <w:tcBorders>
              <w:top w:val="single" w:color="000000" w:sz="4" w:space="0"/>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1047" w:type="dxa"/>
            <w:vMerge w:val="continue"/>
            <w:tcBorders>
              <w:top w:val="single" w:color="000000" w:sz="4" w:space="0"/>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1047" w:type="dxa"/>
            <w:vMerge w:val="continue"/>
            <w:tcBorders>
              <w:top w:val="single" w:color="000000" w:sz="4" w:space="0"/>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1312" w:type="dxa"/>
            <w:vMerge w:val="continue"/>
            <w:tcBorders>
              <w:top w:val="single" w:color="000000" w:sz="4" w:space="0"/>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949" w:type="dxa"/>
            <w:vMerge w:val="continue"/>
            <w:tcBorders>
              <w:top w:val="single" w:color="000000" w:sz="4" w:space="0"/>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1867" w:type="dxa"/>
            <w:vMerge w:val="continue"/>
            <w:tcBorders>
              <w:top w:val="single" w:color="000000" w:sz="4" w:space="0"/>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r>
      <w:tr>
        <w:tblPrEx>
          <w:tblCellMar>
            <w:top w:w="0" w:type="dxa"/>
            <w:left w:w="108" w:type="dxa"/>
            <w:bottom w:w="0" w:type="dxa"/>
            <w:right w:w="108" w:type="dxa"/>
          </w:tblCellMar>
        </w:tblPrEx>
        <w:trPr>
          <w:trHeight w:val="309" w:hRule="atLeast"/>
        </w:trPr>
        <w:tc>
          <w:tcPr>
            <w:tcW w:w="6458"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1312" w:type="dxa"/>
            <w:tcBorders>
              <w:top w:val="nil"/>
              <w:left w:val="nil"/>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047" w:type="dxa"/>
            <w:tcBorders>
              <w:top w:val="nil"/>
              <w:left w:val="nil"/>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047" w:type="dxa"/>
            <w:tcBorders>
              <w:top w:val="nil"/>
              <w:left w:val="nil"/>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312" w:type="dxa"/>
            <w:tcBorders>
              <w:top w:val="nil"/>
              <w:left w:val="nil"/>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949" w:type="dxa"/>
            <w:tcBorders>
              <w:top w:val="nil"/>
              <w:left w:val="nil"/>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867" w:type="dxa"/>
            <w:tcBorders>
              <w:top w:val="nil"/>
              <w:left w:val="nil"/>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6</w:t>
            </w:r>
          </w:p>
        </w:tc>
      </w:tr>
      <w:tr>
        <w:tblPrEx>
          <w:tblCellMar>
            <w:top w:w="0" w:type="dxa"/>
            <w:left w:w="108" w:type="dxa"/>
            <w:bottom w:w="0" w:type="dxa"/>
            <w:right w:w="108" w:type="dxa"/>
          </w:tblCellMar>
        </w:tblPrEx>
        <w:trPr>
          <w:trHeight w:val="309" w:hRule="atLeast"/>
        </w:trPr>
        <w:tc>
          <w:tcPr>
            <w:tcW w:w="6458"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b/>
                <w:bCs/>
                <w:color w:val="000000"/>
                <w:kern w:val="0"/>
                <w:sz w:val="18"/>
                <w:szCs w:val="18"/>
              </w:rPr>
            </w:pPr>
            <w:r>
              <w:rPr>
                <w:rFonts w:hint="eastAsia" w:ascii="宋体" w:hAnsi="宋体" w:cs="Arial"/>
                <w:b/>
                <w:bCs/>
                <w:color w:val="000000"/>
                <w:kern w:val="0"/>
                <w:sz w:val="18"/>
                <w:szCs w:val="18"/>
              </w:rPr>
              <w:t>33,810.85</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b/>
                <w:bCs/>
                <w:color w:val="000000"/>
                <w:kern w:val="0"/>
                <w:sz w:val="18"/>
                <w:szCs w:val="18"/>
              </w:rPr>
            </w:pPr>
            <w:r>
              <w:rPr>
                <w:rFonts w:hint="eastAsia" w:ascii="宋体" w:hAnsi="宋体" w:cs="Arial"/>
                <w:b/>
                <w:bCs/>
                <w:color w:val="000000"/>
                <w:kern w:val="0"/>
                <w:sz w:val="18"/>
                <w:szCs w:val="18"/>
              </w:rPr>
              <w:t>16,660.77</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b/>
                <w:bCs/>
                <w:color w:val="000000"/>
                <w:kern w:val="0"/>
                <w:sz w:val="18"/>
                <w:szCs w:val="18"/>
              </w:rPr>
            </w:pPr>
            <w:r>
              <w:rPr>
                <w:rFonts w:hint="eastAsia" w:ascii="宋体" w:hAnsi="宋体" w:cs="Arial"/>
                <w:b/>
                <w:bCs/>
                <w:color w:val="000000"/>
                <w:kern w:val="0"/>
                <w:sz w:val="18"/>
                <w:szCs w:val="18"/>
              </w:rPr>
              <w:t>17,125.68</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b/>
                <w:bCs/>
                <w:color w:val="000000"/>
                <w:kern w:val="0"/>
                <w:sz w:val="18"/>
                <w:szCs w:val="18"/>
              </w:rPr>
            </w:pPr>
            <w:r>
              <w:rPr>
                <w:rFonts w:hint="eastAsia" w:ascii="宋体" w:hAnsi="宋体" w:cs="Arial"/>
                <w:b/>
                <w:bCs/>
                <w:color w:val="000000"/>
                <w:kern w:val="0"/>
                <w:sz w:val="18"/>
                <w:szCs w:val="18"/>
              </w:rPr>
              <w:t>　</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b/>
                <w:bCs/>
                <w:color w:val="000000"/>
                <w:kern w:val="0"/>
                <w:sz w:val="18"/>
                <w:szCs w:val="18"/>
              </w:rPr>
            </w:pPr>
            <w:r>
              <w:rPr>
                <w:rFonts w:hint="eastAsia" w:ascii="宋体" w:hAnsi="宋体" w:cs="Arial"/>
                <w:b/>
                <w:bCs/>
                <w:color w:val="000000"/>
                <w:kern w:val="0"/>
                <w:sz w:val="18"/>
                <w:szCs w:val="18"/>
              </w:rPr>
              <w:t>　</w:t>
            </w:r>
          </w:p>
        </w:tc>
        <w:tc>
          <w:tcPr>
            <w:tcW w:w="186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b/>
                <w:bCs/>
                <w:color w:val="000000"/>
                <w:kern w:val="0"/>
                <w:sz w:val="18"/>
                <w:szCs w:val="18"/>
              </w:rPr>
            </w:pPr>
            <w:r>
              <w:rPr>
                <w:rFonts w:hint="eastAsia" w:ascii="宋体" w:hAnsi="宋体" w:cs="Arial"/>
                <w:b/>
                <w:bCs/>
                <w:color w:val="000000"/>
                <w:kern w:val="0"/>
                <w:sz w:val="18"/>
                <w:szCs w:val="18"/>
              </w:rPr>
              <w:t>24.40</w:t>
            </w:r>
          </w:p>
        </w:tc>
      </w:tr>
      <w:tr>
        <w:tblPrEx>
          <w:tblCellMar>
            <w:top w:w="0" w:type="dxa"/>
            <w:left w:w="108" w:type="dxa"/>
            <w:bottom w:w="0" w:type="dxa"/>
            <w:right w:w="108" w:type="dxa"/>
          </w:tblCellMar>
        </w:tblPrEx>
        <w:trPr>
          <w:trHeight w:val="309" w:hRule="atLeast"/>
        </w:trPr>
        <w:tc>
          <w:tcPr>
            <w:tcW w:w="16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201</w:t>
            </w:r>
          </w:p>
        </w:tc>
        <w:tc>
          <w:tcPr>
            <w:tcW w:w="4780"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一般公共服务支出</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13.83</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4.42</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9.42</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6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16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20106</w:t>
            </w:r>
          </w:p>
        </w:tc>
        <w:tc>
          <w:tcPr>
            <w:tcW w:w="4780"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财政事务</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4.42</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4.42</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6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16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2010601</w:t>
            </w:r>
          </w:p>
        </w:tc>
        <w:tc>
          <w:tcPr>
            <w:tcW w:w="4780"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xml:space="preserve">  行政运行</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4.42</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4.42</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6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16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20110</w:t>
            </w:r>
          </w:p>
        </w:tc>
        <w:tc>
          <w:tcPr>
            <w:tcW w:w="4780"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人力资源事务</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9.42</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9.42</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6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16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2011002</w:t>
            </w:r>
          </w:p>
        </w:tc>
        <w:tc>
          <w:tcPr>
            <w:tcW w:w="4780"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xml:space="preserve">  一般行政管理事务</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9.42</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9.42</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6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16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205</w:t>
            </w:r>
          </w:p>
        </w:tc>
        <w:tc>
          <w:tcPr>
            <w:tcW w:w="4780"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教育支出</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38.42</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38.42</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6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16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20508</w:t>
            </w:r>
          </w:p>
        </w:tc>
        <w:tc>
          <w:tcPr>
            <w:tcW w:w="4780"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进修及培训</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38.42</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38.42</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6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16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2050803</w:t>
            </w:r>
          </w:p>
        </w:tc>
        <w:tc>
          <w:tcPr>
            <w:tcW w:w="4780"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xml:space="preserve">  培训支出</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38.42</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38.42</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6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16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208</w:t>
            </w:r>
          </w:p>
        </w:tc>
        <w:tc>
          <w:tcPr>
            <w:tcW w:w="4780"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社会保障和就业支出</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1,630.53</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1,630.53</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6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16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20805</w:t>
            </w:r>
          </w:p>
        </w:tc>
        <w:tc>
          <w:tcPr>
            <w:tcW w:w="4780"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行政事业单位离退休</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1,630.53</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1,630.53</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6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16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2080505</w:t>
            </w:r>
          </w:p>
        </w:tc>
        <w:tc>
          <w:tcPr>
            <w:tcW w:w="4780"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xml:space="preserve">  机关事业单位基本养老保险缴费支出</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1,381.55</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1,381.55</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6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16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2080506</w:t>
            </w:r>
          </w:p>
        </w:tc>
        <w:tc>
          <w:tcPr>
            <w:tcW w:w="4780"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xml:space="preserve">  机关事业单位职业年金缴费支出</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248.97</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248.97</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6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16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210</w:t>
            </w:r>
          </w:p>
        </w:tc>
        <w:tc>
          <w:tcPr>
            <w:tcW w:w="4780"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医疗卫生与计划生育支出</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1,166.78</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1,166.78</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6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16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21011</w:t>
            </w:r>
          </w:p>
        </w:tc>
        <w:tc>
          <w:tcPr>
            <w:tcW w:w="4780"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行政事业单位医疗</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1,166.78</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1,166.78</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6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16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2101101</w:t>
            </w:r>
          </w:p>
        </w:tc>
        <w:tc>
          <w:tcPr>
            <w:tcW w:w="4780"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xml:space="preserve">  行政单位医疗</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417.64</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417.64</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6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16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2101102</w:t>
            </w:r>
          </w:p>
        </w:tc>
        <w:tc>
          <w:tcPr>
            <w:tcW w:w="4780"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xml:space="preserve">  事业单位医疗</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749.14</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749.14</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6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16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211</w:t>
            </w:r>
          </w:p>
        </w:tc>
        <w:tc>
          <w:tcPr>
            <w:tcW w:w="4780"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节能环保支出</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30,091.96</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13,070.41</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16,997.15</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6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24.40</w:t>
            </w:r>
          </w:p>
        </w:tc>
      </w:tr>
      <w:tr>
        <w:tblPrEx>
          <w:tblCellMar>
            <w:top w:w="0" w:type="dxa"/>
            <w:left w:w="108" w:type="dxa"/>
            <w:bottom w:w="0" w:type="dxa"/>
            <w:right w:w="108" w:type="dxa"/>
          </w:tblCellMar>
        </w:tblPrEx>
        <w:trPr>
          <w:trHeight w:val="309" w:hRule="atLeast"/>
        </w:trPr>
        <w:tc>
          <w:tcPr>
            <w:tcW w:w="16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21101</w:t>
            </w:r>
          </w:p>
        </w:tc>
        <w:tc>
          <w:tcPr>
            <w:tcW w:w="4780"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环境保护管理事务</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12,833.93</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11,624.55</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1,184.98</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6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24.40</w:t>
            </w:r>
          </w:p>
        </w:tc>
      </w:tr>
      <w:tr>
        <w:tblPrEx>
          <w:tblCellMar>
            <w:top w:w="0" w:type="dxa"/>
            <w:left w:w="108" w:type="dxa"/>
            <w:bottom w:w="0" w:type="dxa"/>
            <w:right w:w="108" w:type="dxa"/>
          </w:tblCellMar>
        </w:tblPrEx>
        <w:trPr>
          <w:trHeight w:val="309" w:hRule="atLeast"/>
        </w:trPr>
        <w:tc>
          <w:tcPr>
            <w:tcW w:w="16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2110101</w:t>
            </w:r>
          </w:p>
        </w:tc>
        <w:tc>
          <w:tcPr>
            <w:tcW w:w="4780"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xml:space="preserve">  行政运行</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5,446.55</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5,230.56</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215.99</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6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16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2110102</w:t>
            </w:r>
          </w:p>
        </w:tc>
        <w:tc>
          <w:tcPr>
            <w:tcW w:w="4780"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xml:space="preserve">  一般行政管理事务</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1,358.73</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1,152.83</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205.90</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6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16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2110104</w:t>
            </w:r>
          </w:p>
        </w:tc>
        <w:tc>
          <w:tcPr>
            <w:tcW w:w="4780"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xml:space="preserve">  环境保护宣传</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33.22</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33.22</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6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16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2110105</w:t>
            </w:r>
          </w:p>
        </w:tc>
        <w:tc>
          <w:tcPr>
            <w:tcW w:w="4780"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xml:space="preserve">  环境保护法规、规划及标准</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67.50</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67.50</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6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16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2110107</w:t>
            </w:r>
          </w:p>
        </w:tc>
        <w:tc>
          <w:tcPr>
            <w:tcW w:w="4780"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xml:space="preserve">  环境保护行政许可</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1.89</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1.89</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6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16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2110199</w:t>
            </w:r>
          </w:p>
        </w:tc>
        <w:tc>
          <w:tcPr>
            <w:tcW w:w="4780"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xml:space="preserve">  其他环境保护管理事务支出</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5,926.03</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5,206.04</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695.59</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6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24.40</w:t>
            </w:r>
          </w:p>
        </w:tc>
      </w:tr>
      <w:tr>
        <w:tblPrEx>
          <w:tblCellMar>
            <w:top w:w="0" w:type="dxa"/>
            <w:left w:w="108" w:type="dxa"/>
            <w:bottom w:w="0" w:type="dxa"/>
            <w:right w:w="108" w:type="dxa"/>
          </w:tblCellMar>
        </w:tblPrEx>
        <w:trPr>
          <w:trHeight w:val="309" w:hRule="atLeast"/>
        </w:trPr>
        <w:tc>
          <w:tcPr>
            <w:tcW w:w="16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21102</w:t>
            </w:r>
          </w:p>
        </w:tc>
        <w:tc>
          <w:tcPr>
            <w:tcW w:w="4780"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环境监测与监察</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4,615.64</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1,445.86</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3,169.78</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6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16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2110299</w:t>
            </w:r>
          </w:p>
        </w:tc>
        <w:tc>
          <w:tcPr>
            <w:tcW w:w="4780"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xml:space="preserve">  其他环境监测与监察支出</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4,615.64</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1,445.86</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3,169.78</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6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16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21103</w:t>
            </w:r>
          </w:p>
        </w:tc>
        <w:tc>
          <w:tcPr>
            <w:tcW w:w="4780"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污染防治</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12,616.42</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12,616.42</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6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16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2110301</w:t>
            </w:r>
          </w:p>
        </w:tc>
        <w:tc>
          <w:tcPr>
            <w:tcW w:w="4780"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xml:space="preserve">  大气</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9,684.82</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9,684.82</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6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16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2110302</w:t>
            </w:r>
          </w:p>
        </w:tc>
        <w:tc>
          <w:tcPr>
            <w:tcW w:w="4780"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xml:space="preserve">  水体</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178.13</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178.13</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6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16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2110303</w:t>
            </w:r>
          </w:p>
        </w:tc>
        <w:tc>
          <w:tcPr>
            <w:tcW w:w="4780"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xml:space="preserve">  噪声</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0.70</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0.70</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6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16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2110304</w:t>
            </w:r>
          </w:p>
        </w:tc>
        <w:tc>
          <w:tcPr>
            <w:tcW w:w="4780"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xml:space="preserve">  固体废弃物与化学品</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210.30</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210.30</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6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16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2110399</w:t>
            </w:r>
          </w:p>
        </w:tc>
        <w:tc>
          <w:tcPr>
            <w:tcW w:w="4780"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xml:space="preserve">  其他污染防治支出</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2,542.47</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2,542.47</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6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16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21104</w:t>
            </w:r>
          </w:p>
        </w:tc>
        <w:tc>
          <w:tcPr>
            <w:tcW w:w="4780"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自然生态保护</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25.96</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25.96</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6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16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2110402</w:t>
            </w:r>
          </w:p>
        </w:tc>
        <w:tc>
          <w:tcPr>
            <w:tcW w:w="4780"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xml:space="preserve">  农村环境保护</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20.00</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20.00</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6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16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2110499</w:t>
            </w:r>
          </w:p>
        </w:tc>
        <w:tc>
          <w:tcPr>
            <w:tcW w:w="4780"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xml:space="preserve">  其他自然生态保护支出</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5.96</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5.96</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6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16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212</w:t>
            </w:r>
          </w:p>
        </w:tc>
        <w:tc>
          <w:tcPr>
            <w:tcW w:w="4780"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城乡社区支出</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117.12</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117.12</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6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16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21208</w:t>
            </w:r>
          </w:p>
        </w:tc>
        <w:tc>
          <w:tcPr>
            <w:tcW w:w="4780"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国有土地使用权出让收入及对应专项债务收入安排的支出</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78.04</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78.04</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6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16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2120801</w:t>
            </w:r>
          </w:p>
        </w:tc>
        <w:tc>
          <w:tcPr>
            <w:tcW w:w="4780"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xml:space="preserve">  征地和拆迁补偿支出</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78.04</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78.04</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6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16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21299</w:t>
            </w:r>
          </w:p>
        </w:tc>
        <w:tc>
          <w:tcPr>
            <w:tcW w:w="4780"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其他城乡社区支出</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39.08</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39.08</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6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16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2129999</w:t>
            </w:r>
          </w:p>
        </w:tc>
        <w:tc>
          <w:tcPr>
            <w:tcW w:w="4780"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xml:space="preserve">  其他城乡社区支出</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39.08</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39.08</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6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16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213</w:t>
            </w:r>
          </w:p>
        </w:tc>
        <w:tc>
          <w:tcPr>
            <w:tcW w:w="4780"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农林水支出</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2.00</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2.00</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6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16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21302</w:t>
            </w:r>
          </w:p>
        </w:tc>
        <w:tc>
          <w:tcPr>
            <w:tcW w:w="4780"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林业</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2.00</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2.00</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6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16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2130205</w:t>
            </w:r>
          </w:p>
        </w:tc>
        <w:tc>
          <w:tcPr>
            <w:tcW w:w="4780"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xml:space="preserve">  森林培育</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2.00</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2.00</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6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16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221</w:t>
            </w:r>
          </w:p>
        </w:tc>
        <w:tc>
          <w:tcPr>
            <w:tcW w:w="4780"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住房保障支出</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750.21</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750.21</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6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16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22102</w:t>
            </w:r>
          </w:p>
        </w:tc>
        <w:tc>
          <w:tcPr>
            <w:tcW w:w="4780"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住房改革支出</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750.21</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750.21</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6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16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2210201</w:t>
            </w:r>
          </w:p>
        </w:tc>
        <w:tc>
          <w:tcPr>
            <w:tcW w:w="4780"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xml:space="preserve">  住房公积金</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750.21</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750.21</w:t>
            </w:r>
          </w:p>
        </w:tc>
        <w:tc>
          <w:tcPr>
            <w:tcW w:w="104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1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6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13992" w:type="dxa"/>
            <w:gridSpan w:val="10"/>
            <w:tcBorders>
              <w:top w:val="nil"/>
              <w:left w:val="nil"/>
              <w:bottom w:val="nil"/>
              <w:right w:val="nil"/>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注：本表反映部门本年度各项支出情况。</w:t>
            </w:r>
          </w:p>
        </w:tc>
      </w:tr>
      <w:tr>
        <w:tblPrEx>
          <w:tblCellMar>
            <w:top w:w="0" w:type="dxa"/>
            <w:left w:w="108" w:type="dxa"/>
            <w:bottom w:w="0" w:type="dxa"/>
            <w:right w:w="108" w:type="dxa"/>
          </w:tblCellMar>
        </w:tblPrEx>
        <w:trPr>
          <w:trHeight w:val="264" w:hRule="atLeast"/>
        </w:trPr>
        <w:tc>
          <w:tcPr>
            <w:tcW w:w="559" w:type="dxa"/>
            <w:tcBorders>
              <w:top w:val="nil"/>
              <w:left w:val="nil"/>
              <w:bottom w:val="nil"/>
              <w:right w:val="nil"/>
            </w:tcBorders>
            <w:shd w:val="clear" w:color="auto" w:fill="auto"/>
            <w:noWrap/>
            <w:vAlign w:val="bottom"/>
          </w:tcPr>
          <w:p>
            <w:pPr>
              <w:widowControl/>
              <w:spacing w:after="0" w:line="240" w:lineRule="auto"/>
              <w:jc w:val="left"/>
              <w:rPr>
                <w:rFonts w:ascii="宋体" w:hAnsi="宋体" w:cs="Arial"/>
                <w:color w:val="000000"/>
                <w:kern w:val="0"/>
                <w:sz w:val="18"/>
                <w:szCs w:val="18"/>
              </w:rPr>
            </w:pPr>
          </w:p>
        </w:tc>
        <w:tc>
          <w:tcPr>
            <w:tcW w:w="559"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560"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4780"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312"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047"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047"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312"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949"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867"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r>
      <w:tr>
        <w:tblPrEx>
          <w:tblCellMar>
            <w:top w:w="0" w:type="dxa"/>
            <w:left w:w="108" w:type="dxa"/>
            <w:bottom w:w="0" w:type="dxa"/>
            <w:right w:w="108" w:type="dxa"/>
          </w:tblCellMar>
        </w:tblPrEx>
        <w:trPr>
          <w:trHeight w:val="264" w:hRule="atLeast"/>
        </w:trPr>
        <w:tc>
          <w:tcPr>
            <w:tcW w:w="13992" w:type="dxa"/>
            <w:gridSpan w:val="10"/>
            <w:tcBorders>
              <w:top w:val="nil"/>
              <w:left w:val="nil"/>
              <w:bottom w:val="nil"/>
            </w:tcBorders>
            <w:shd w:val="clear" w:color="auto" w:fill="auto"/>
            <w:noWrap/>
            <w:vAlign w:val="center"/>
          </w:tcPr>
          <w:p>
            <w:pPr>
              <w:widowControl/>
              <w:spacing w:after="0" w:line="240" w:lineRule="auto"/>
              <w:jc w:val="center"/>
              <w:rPr>
                <w:rFonts w:eastAsia="Times New Roman"/>
                <w:kern w:val="0"/>
                <w:sz w:val="18"/>
                <w:szCs w:val="18"/>
              </w:rPr>
            </w:pPr>
            <w:r>
              <w:rPr>
                <w:rFonts w:hint="eastAsia" w:ascii="宋体" w:hAnsi="宋体" w:cs="Arial"/>
                <w:color w:val="000000"/>
                <w:kern w:val="0"/>
                <w:sz w:val="18"/>
                <w:szCs w:val="18"/>
              </w:rPr>
              <w:t>— 3—</w:t>
            </w:r>
          </w:p>
        </w:tc>
      </w:tr>
    </w:tbl>
    <w:p>
      <w:pPr>
        <w:widowControl/>
        <w:spacing w:after="0" w:line="560" w:lineRule="exact"/>
        <w:jc w:val="left"/>
        <w:rPr>
          <w:rFonts w:ascii="仿宋_GB2312" w:hAnsi="宋体" w:eastAsia="仿宋_GB2312"/>
          <w:b/>
          <w:sz w:val="28"/>
          <w:szCs w:val="28"/>
          <w:highlight w:val="yellow"/>
        </w:rPr>
      </w:pPr>
    </w:p>
    <w:p>
      <w:pPr>
        <w:widowControl/>
        <w:spacing w:after="0" w:line="560" w:lineRule="exact"/>
        <w:jc w:val="left"/>
        <w:rPr>
          <w:rFonts w:ascii="仿宋_GB2312" w:hAnsi="宋体" w:eastAsia="仿宋_GB2312"/>
          <w:b/>
          <w:sz w:val="28"/>
          <w:szCs w:val="28"/>
          <w:highlight w:val="yellow"/>
        </w:rPr>
      </w:pPr>
    </w:p>
    <w:p>
      <w:pPr>
        <w:widowControl/>
        <w:spacing w:after="0" w:line="560" w:lineRule="exact"/>
        <w:jc w:val="left"/>
        <w:rPr>
          <w:rFonts w:ascii="仿宋_GB2312" w:hAnsi="宋体" w:eastAsia="仿宋_GB2312"/>
          <w:b/>
          <w:sz w:val="28"/>
          <w:szCs w:val="28"/>
          <w:highlight w:val="yellow"/>
        </w:rPr>
      </w:pPr>
    </w:p>
    <w:p>
      <w:pPr>
        <w:widowControl/>
        <w:spacing w:after="0" w:line="560" w:lineRule="exact"/>
        <w:jc w:val="left"/>
        <w:rPr>
          <w:rFonts w:ascii="仿宋_GB2312" w:hAnsi="宋体" w:eastAsia="仿宋_GB2312"/>
          <w:b/>
          <w:sz w:val="28"/>
          <w:szCs w:val="28"/>
          <w:highlight w:val="yellow"/>
        </w:rPr>
      </w:pPr>
    </w:p>
    <w:p>
      <w:pPr>
        <w:widowControl/>
        <w:spacing w:after="0" w:line="560" w:lineRule="exact"/>
        <w:jc w:val="left"/>
        <w:rPr>
          <w:rFonts w:ascii="仿宋_GB2312" w:hAnsi="宋体" w:eastAsia="仿宋_GB2312"/>
          <w:b/>
          <w:sz w:val="28"/>
          <w:szCs w:val="28"/>
          <w:highlight w:val="yellow"/>
        </w:rPr>
      </w:pPr>
    </w:p>
    <w:p>
      <w:pPr>
        <w:widowControl/>
        <w:spacing w:after="0" w:line="560" w:lineRule="exact"/>
        <w:jc w:val="left"/>
        <w:rPr>
          <w:rFonts w:ascii="仿宋_GB2312" w:hAnsi="宋体" w:eastAsia="仿宋_GB2312"/>
          <w:b/>
          <w:sz w:val="28"/>
          <w:szCs w:val="28"/>
          <w:highlight w:val="yellow"/>
        </w:rPr>
      </w:pPr>
    </w:p>
    <w:p>
      <w:pPr>
        <w:widowControl/>
        <w:spacing w:after="0" w:line="560" w:lineRule="exact"/>
        <w:ind w:firstLine="560" w:firstLineChars="200"/>
        <w:jc w:val="left"/>
        <w:rPr>
          <w:rFonts w:ascii="仿宋_GB2312" w:hAnsi="宋体" w:eastAsia="仿宋_GB2312"/>
          <w:b/>
          <w:sz w:val="28"/>
          <w:szCs w:val="28"/>
          <w:highlight w:val="yellow"/>
        </w:rPr>
        <w:sectPr>
          <w:headerReference r:id="rId8" w:type="default"/>
          <w:pgSz w:w="16838" w:h="11906" w:orient="landscape"/>
          <w:pgMar w:top="2098" w:right="1474" w:bottom="1588" w:left="1588" w:header="851" w:footer="992" w:gutter="0"/>
          <w:cols w:space="0" w:num="1"/>
          <w:docGrid w:type="linesAndChars" w:linePitch="312" w:charSpace="0"/>
        </w:sectPr>
      </w:pPr>
    </w:p>
    <w:tbl>
      <w:tblPr>
        <w:tblStyle w:val="12"/>
        <w:tblW w:w="9356" w:type="dxa"/>
        <w:tblInd w:w="-459" w:type="dxa"/>
        <w:tblLayout w:type="fixed"/>
        <w:tblCellMar>
          <w:top w:w="0" w:type="dxa"/>
          <w:left w:w="108" w:type="dxa"/>
          <w:bottom w:w="0" w:type="dxa"/>
          <w:right w:w="108" w:type="dxa"/>
        </w:tblCellMar>
      </w:tblPr>
      <w:tblGrid>
        <w:gridCol w:w="2268"/>
        <w:gridCol w:w="426"/>
        <w:gridCol w:w="992"/>
        <w:gridCol w:w="2126"/>
        <w:gridCol w:w="567"/>
        <w:gridCol w:w="992"/>
        <w:gridCol w:w="993"/>
        <w:gridCol w:w="992"/>
      </w:tblGrid>
      <w:tr>
        <w:tblPrEx>
          <w:tblCellMar>
            <w:top w:w="0" w:type="dxa"/>
            <w:left w:w="108" w:type="dxa"/>
            <w:bottom w:w="0" w:type="dxa"/>
            <w:right w:w="108" w:type="dxa"/>
          </w:tblCellMar>
        </w:tblPrEx>
        <w:trPr>
          <w:trHeight w:val="384" w:hRule="atLeast"/>
        </w:trPr>
        <w:tc>
          <w:tcPr>
            <w:tcW w:w="9356" w:type="dxa"/>
            <w:gridSpan w:val="8"/>
            <w:tcBorders>
              <w:top w:val="nil"/>
              <w:left w:val="nil"/>
              <w:bottom w:val="nil"/>
              <w:right w:val="nil"/>
            </w:tcBorders>
            <w:shd w:val="clear" w:color="auto" w:fill="auto"/>
            <w:noWrap/>
            <w:vAlign w:val="center"/>
          </w:tcPr>
          <w:p>
            <w:pPr>
              <w:widowControl/>
              <w:spacing w:after="0" w:line="240" w:lineRule="auto"/>
              <w:jc w:val="center"/>
              <w:rPr>
                <w:rFonts w:eastAsia="Times New Roman"/>
                <w:b/>
                <w:bCs/>
                <w:kern w:val="0"/>
                <w:sz w:val="30"/>
                <w:szCs w:val="30"/>
              </w:rPr>
            </w:pPr>
            <w:r>
              <w:rPr>
                <w:rFonts w:hint="eastAsia" w:ascii="宋体" w:hAnsi="宋体" w:cs="Arial"/>
                <w:b/>
                <w:bCs/>
                <w:color w:val="000000"/>
                <w:kern w:val="0"/>
                <w:sz w:val="30"/>
                <w:szCs w:val="30"/>
              </w:rPr>
              <w:t>财政拨款收入支出决算总表</w:t>
            </w:r>
          </w:p>
        </w:tc>
      </w:tr>
      <w:tr>
        <w:tblPrEx>
          <w:tblCellMar>
            <w:top w:w="0" w:type="dxa"/>
            <w:left w:w="108" w:type="dxa"/>
            <w:bottom w:w="0" w:type="dxa"/>
            <w:right w:w="108" w:type="dxa"/>
          </w:tblCellMar>
        </w:tblPrEx>
        <w:trPr>
          <w:trHeight w:val="264" w:hRule="atLeast"/>
        </w:trPr>
        <w:tc>
          <w:tcPr>
            <w:tcW w:w="2268"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6"/>
                <w:szCs w:val="16"/>
              </w:rPr>
            </w:pPr>
          </w:p>
        </w:tc>
        <w:tc>
          <w:tcPr>
            <w:tcW w:w="426"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6"/>
                <w:szCs w:val="16"/>
              </w:rPr>
            </w:pPr>
          </w:p>
        </w:tc>
        <w:tc>
          <w:tcPr>
            <w:tcW w:w="992"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6"/>
                <w:szCs w:val="16"/>
              </w:rPr>
            </w:pPr>
          </w:p>
        </w:tc>
        <w:tc>
          <w:tcPr>
            <w:tcW w:w="2126"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6"/>
                <w:szCs w:val="16"/>
              </w:rPr>
            </w:pPr>
          </w:p>
        </w:tc>
        <w:tc>
          <w:tcPr>
            <w:tcW w:w="567"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6"/>
                <w:szCs w:val="16"/>
              </w:rPr>
            </w:pPr>
          </w:p>
        </w:tc>
        <w:tc>
          <w:tcPr>
            <w:tcW w:w="992"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6"/>
                <w:szCs w:val="16"/>
              </w:rPr>
            </w:pPr>
          </w:p>
        </w:tc>
        <w:tc>
          <w:tcPr>
            <w:tcW w:w="993"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6"/>
                <w:szCs w:val="16"/>
              </w:rPr>
            </w:pPr>
          </w:p>
        </w:tc>
        <w:tc>
          <w:tcPr>
            <w:tcW w:w="992" w:type="dxa"/>
            <w:tcBorders>
              <w:top w:val="nil"/>
              <w:left w:val="nil"/>
              <w:bottom w:val="nil"/>
              <w:right w:val="nil"/>
            </w:tcBorders>
            <w:shd w:val="clear" w:color="auto" w:fill="auto"/>
            <w:noWrap/>
            <w:vAlign w:val="bottom"/>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公开04表</w:t>
            </w:r>
          </w:p>
        </w:tc>
      </w:tr>
      <w:tr>
        <w:tblPrEx>
          <w:tblCellMar>
            <w:top w:w="0" w:type="dxa"/>
            <w:left w:w="108" w:type="dxa"/>
            <w:bottom w:w="0" w:type="dxa"/>
            <w:right w:w="108" w:type="dxa"/>
          </w:tblCellMar>
        </w:tblPrEx>
        <w:trPr>
          <w:trHeight w:val="264" w:hRule="atLeast"/>
        </w:trPr>
        <w:tc>
          <w:tcPr>
            <w:tcW w:w="5812" w:type="dxa"/>
            <w:gridSpan w:val="4"/>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6"/>
                <w:szCs w:val="16"/>
              </w:rPr>
            </w:pPr>
            <w:r>
              <w:rPr>
                <w:rFonts w:hint="eastAsia" w:ascii="宋体" w:hAnsi="宋体" w:cs="Arial"/>
                <w:color w:val="000000"/>
                <w:kern w:val="0"/>
                <w:sz w:val="16"/>
                <w:szCs w:val="16"/>
              </w:rPr>
              <w:t>部门：唐山市环境保护局系统（汇总）</w:t>
            </w:r>
          </w:p>
        </w:tc>
        <w:tc>
          <w:tcPr>
            <w:tcW w:w="567"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6"/>
                <w:szCs w:val="16"/>
              </w:rPr>
            </w:pPr>
          </w:p>
        </w:tc>
        <w:tc>
          <w:tcPr>
            <w:tcW w:w="992"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6"/>
                <w:szCs w:val="16"/>
              </w:rPr>
            </w:pPr>
          </w:p>
        </w:tc>
        <w:tc>
          <w:tcPr>
            <w:tcW w:w="1985" w:type="dxa"/>
            <w:gridSpan w:val="2"/>
            <w:tcBorders>
              <w:top w:val="nil"/>
              <w:left w:val="nil"/>
              <w:bottom w:val="nil"/>
            </w:tcBorders>
            <w:shd w:val="clear" w:color="auto" w:fill="auto"/>
            <w:noWrap/>
            <w:vAlign w:val="bottom"/>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金额单位：万元</w:t>
            </w:r>
          </w:p>
        </w:tc>
      </w:tr>
      <w:tr>
        <w:tblPrEx>
          <w:tblCellMar>
            <w:top w:w="0" w:type="dxa"/>
            <w:left w:w="108" w:type="dxa"/>
            <w:bottom w:w="0" w:type="dxa"/>
            <w:right w:w="108" w:type="dxa"/>
          </w:tblCellMar>
        </w:tblPrEx>
        <w:trPr>
          <w:trHeight w:val="309" w:hRule="atLeast"/>
        </w:trPr>
        <w:tc>
          <w:tcPr>
            <w:tcW w:w="3686"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收     入</w:t>
            </w:r>
          </w:p>
        </w:tc>
        <w:tc>
          <w:tcPr>
            <w:tcW w:w="5670" w:type="dxa"/>
            <w:gridSpan w:val="5"/>
            <w:tcBorders>
              <w:top w:val="single" w:color="000000" w:sz="4" w:space="0"/>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支     出</w:t>
            </w:r>
          </w:p>
        </w:tc>
      </w:tr>
      <w:tr>
        <w:tblPrEx>
          <w:tblCellMar>
            <w:top w:w="0" w:type="dxa"/>
            <w:left w:w="108" w:type="dxa"/>
            <w:bottom w:w="0" w:type="dxa"/>
            <w:right w:w="108" w:type="dxa"/>
          </w:tblCellMar>
        </w:tblPrEx>
        <w:trPr>
          <w:trHeight w:val="312" w:hRule="atLeast"/>
        </w:trPr>
        <w:tc>
          <w:tcPr>
            <w:tcW w:w="2268"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项目</w:t>
            </w:r>
          </w:p>
        </w:tc>
        <w:tc>
          <w:tcPr>
            <w:tcW w:w="426" w:type="dxa"/>
            <w:vMerge w:val="restart"/>
            <w:tcBorders>
              <w:top w:val="nil"/>
              <w:left w:val="nil"/>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行次</w:t>
            </w:r>
          </w:p>
        </w:tc>
        <w:tc>
          <w:tcPr>
            <w:tcW w:w="992" w:type="dxa"/>
            <w:vMerge w:val="restart"/>
            <w:tcBorders>
              <w:top w:val="nil"/>
              <w:left w:val="nil"/>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金额</w:t>
            </w:r>
          </w:p>
        </w:tc>
        <w:tc>
          <w:tcPr>
            <w:tcW w:w="2126" w:type="dxa"/>
            <w:vMerge w:val="restart"/>
            <w:tcBorders>
              <w:top w:val="nil"/>
              <w:left w:val="nil"/>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项目</w:t>
            </w:r>
          </w:p>
        </w:tc>
        <w:tc>
          <w:tcPr>
            <w:tcW w:w="567" w:type="dxa"/>
            <w:vMerge w:val="restart"/>
            <w:tcBorders>
              <w:top w:val="nil"/>
              <w:left w:val="nil"/>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行次</w:t>
            </w:r>
          </w:p>
        </w:tc>
        <w:tc>
          <w:tcPr>
            <w:tcW w:w="992" w:type="dxa"/>
            <w:vMerge w:val="restart"/>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合计</w:t>
            </w:r>
          </w:p>
        </w:tc>
        <w:tc>
          <w:tcPr>
            <w:tcW w:w="993" w:type="dxa"/>
            <w:vMerge w:val="restart"/>
            <w:tcBorders>
              <w:top w:val="nil"/>
              <w:left w:val="nil"/>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一般公共预算财政拨款</w:t>
            </w:r>
          </w:p>
        </w:tc>
        <w:tc>
          <w:tcPr>
            <w:tcW w:w="992" w:type="dxa"/>
            <w:vMerge w:val="restart"/>
            <w:tcBorders>
              <w:top w:val="nil"/>
              <w:left w:val="nil"/>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政府性基金预算财政拨款</w:t>
            </w:r>
          </w:p>
        </w:tc>
      </w:tr>
      <w:tr>
        <w:tblPrEx>
          <w:tblCellMar>
            <w:top w:w="0" w:type="dxa"/>
            <w:left w:w="108" w:type="dxa"/>
            <w:bottom w:w="0" w:type="dxa"/>
            <w:right w:w="108" w:type="dxa"/>
          </w:tblCellMar>
        </w:tblPrEx>
        <w:trPr>
          <w:trHeight w:val="615" w:hRule="atLeast"/>
        </w:trPr>
        <w:tc>
          <w:tcPr>
            <w:tcW w:w="2268"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6"/>
                <w:szCs w:val="16"/>
              </w:rPr>
            </w:pPr>
          </w:p>
        </w:tc>
        <w:tc>
          <w:tcPr>
            <w:tcW w:w="426"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6"/>
                <w:szCs w:val="16"/>
              </w:rPr>
            </w:pPr>
          </w:p>
        </w:tc>
        <w:tc>
          <w:tcPr>
            <w:tcW w:w="992"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6"/>
                <w:szCs w:val="16"/>
              </w:rPr>
            </w:pPr>
          </w:p>
        </w:tc>
        <w:tc>
          <w:tcPr>
            <w:tcW w:w="2126"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6"/>
                <w:szCs w:val="16"/>
              </w:rPr>
            </w:pPr>
          </w:p>
        </w:tc>
        <w:tc>
          <w:tcPr>
            <w:tcW w:w="567"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6"/>
                <w:szCs w:val="16"/>
              </w:rPr>
            </w:pPr>
          </w:p>
        </w:tc>
        <w:tc>
          <w:tcPr>
            <w:tcW w:w="992"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6"/>
                <w:szCs w:val="16"/>
              </w:rPr>
            </w:pPr>
          </w:p>
        </w:tc>
        <w:tc>
          <w:tcPr>
            <w:tcW w:w="993"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6"/>
                <w:szCs w:val="16"/>
              </w:rPr>
            </w:pPr>
          </w:p>
        </w:tc>
        <w:tc>
          <w:tcPr>
            <w:tcW w:w="992"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6"/>
                <w:szCs w:val="16"/>
              </w:rPr>
            </w:pPr>
          </w:p>
        </w:tc>
      </w:tr>
      <w:tr>
        <w:tblPrEx>
          <w:tblCellMar>
            <w:top w:w="0" w:type="dxa"/>
            <w:left w:w="108" w:type="dxa"/>
            <w:bottom w:w="0" w:type="dxa"/>
            <w:right w:w="108" w:type="dxa"/>
          </w:tblCellMar>
        </w:tblPrEx>
        <w:trPr>
          <w:trHeight w:val="309" w:hRule="atLeast"/>
        </w:trPr>
        <w:tc>
          <w:tcPr>
            <w:tcW w:w="2268"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栏次</w:t>
            </w:r>
          </w:p>
        </w:tc>
        <w:tc>
          <w:tcPr>
            <w:tcW w:w="42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1</w:t>
            </w:r>
          </w:p>
        </w:tc>
        <w:tc>
          <w:tcPr>
            <w:tcW w:w="212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栏次</w:t>
            </w:r>
          </w:p>
        </w:tc>
        <w:tc>
          <w:tcPr>
            <w:tcW w:w="567"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2</w:t>
            </w:r>
          </w:p>
        </w:tc>
        <w:tc>
          <w:tcPr>
            <w:tcW w:w="993"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3</w:t>
            </w:r>
          </w:p>
        </w:tc>
        <w:tc>
          <w:tcPr>
            <w:tcW w:w="992"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4</w:t>
            </w:r>
          </w:p>
        </w:tc>
      </w:tr>
      <w:tr>
        <w:tblPrEx>
          <w:tblCellMar>
            <w:top w:w="0" w:type="dxa"/>
            <w:left w:w="108" w:type="dxa"/>
            <w:bottom w:w="0" w:type="dxa"/>
            <w:right w:w="108" w:type="dxa"/>
          </w:tblCellMar>
        </w:tblPrEx>
        <w:trPr>
          <w:trHeight w:val="309" w:hRule="atLeast"/>
        </w:trPr>
        <w:tc>
          <w:tcPr>
            <w:tcW w:w="2268"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一、一般公共预算财政拨款</w:t>
            </w:r>
          </w:p>
        </w:tc>
        <w:tc>
          <w:tcPr>
            <w:tcW w:w="42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1</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27,275.46</w:t>
            </w:r>
          </w:p>
        </w:tc>
        <w:tc>
          <w:tcPr>
            <w:tcW w:w="212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一、一般公共服务支出</w:t>
            </w:r>
          </w:p>
        </w:tc>
        <w:tc>
          <w:tcPr>
            <w:tcW w:w="567"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29</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13.83</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13.83</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9" w:hRule="atLeast"/>
        </w:trPr>
        <w:tc>
          <w:tcPr>
            <w:tcW w:w="2268"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二、政府性基金预算财政拨款</w:t>
            </w:r>
          </w:p>
        </w:tc>
        <w:tc>
          <w:tcPr>
            <w:tcW w:w="42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2</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212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二、外交支出</w:t>
            </w:r>
          </w:p>
        </w:tc>
        <w:tc>
          <w:tcPr>
            <w:tcW w:w="567"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30</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9" w:hRule="atLeast"/>
        </w:trPr>
        <w:tc>
          <w:tcPr>
            <w:tcW w:w="2268"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42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3</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212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三、国防支出</w:t>
            </w:r>
          </w:p>
        </w:tc>
        <w:tc>
          <w:tcPr>
            <w:tcW w:w="567"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31</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9" w:hRule="atLeast"/>
        </w:trPr>
        <w:tc>
          <w:tcPr>
            <w:tcW w:w="2268"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42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4</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212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四、公共安全支出</w:t>
            </w:r>
          </w:p>
        </w:tc>
        <w:tc>
          <w:tcPr>
            <w:tcW w:w="567"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32</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9" w:hRule="atLeast"/>
        </w:trPr>
        <w:tc>
          <w:tcPr>
            <w:tcW w:w="2268"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42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5</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212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五、教育支出</w:t>
            </w:r>
          </w:p>
        </w:tc>
        <w:tc>
          <w:tcPr>
            <w:tcW w:w="567"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33</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38.42</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38.42</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9" w:hRule="atLeast"/>
        </w:trPr>
        <w:tc>
          <w:tcPr>
            <w:tcW w:w="2268"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42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6</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212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六、科学技术支出</w:t>
            </w:r>
          </w:p>
        </w:tc>
        <w:tc>
          <w:tcPr>
            <w:tcW w:w="567"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34</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9" w:hRule="atLeast"/>
        </w:trPr>
        <w:tc>
          <w:tcPr>
            <w:tcW w:w="2268"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42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7</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212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七、文化体育与传媒支出</w:t>
            </w:r>
          </w:p>
        </w:tc>
        <w:tc>
          <w:tcPr>
            <w:tcW w:w="567"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35</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9" w:hRule="atLeast"/>
        </w:trPr>
        <w:tc>
          <w:tcPr>
            <w:tcW w:w="2268"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42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8</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212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八、社会保障和就业支出</w:t>
            </w:r>
          </w:p>
        </w:tc>
        <w:tc>
          <w:tcPr>
            <w:tcW w:w="567"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36</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1,490.93</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1,490.93</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9" w:hRule="atLeast"/>
        </w:trPr>
        <w:tc>
          <w:tcPr>
            <w:tcW w:w="2268"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42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9</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212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九、医疗卫生与计划生育支出</w:t>
            </w:r>
          </w:p>
        </w:tc>
        <w:tc>
          <w:tcPr>
            <w:tcW w:w="567"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37</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1,154.15</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1,154.15</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9" w:hRule="atLeast"/>
        </w:trPr>
        <w:tc>
          <w:tcPr>
            <w:tcW w:w="2268"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42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10</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212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十、节能环保支出</w:t>
            </w:r>
          </w:p>
        </w:tc>
        <w:tc>
          <w:tcPr>
            <w:tcW w:w="567"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38</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24,363.86</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24,363.86</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9" w:hRule="atLeast"/>
        </w:trPr>
        <w:tc>
          <w:tcPr>
            <w:tcW w:w="2268"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42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11</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212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十一、城乡社区支出</w:t>
            </w:r>
          </w:p>
        </w:tc>
        <w:tc>
          <w:tcPr>
            <w:tcW w:w="567"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39</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9" w:hRule="atLeast"/>
        </w:trPr>
        <w:tc>
          <w:tcPr>
            <w:tcW w:w="2268"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42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12</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212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十二、农林水支出</w:t>
            </w:r>
          </w:p>
        </w:tc>
        <w:tc>
          <w:tcPr>
            <w:tcW w:w="567"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40</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9" w:hRule="atLeast"/>
        </w:trPr>
        <w:tc>
          <w:tcPr>
            <w:tcW w:w="2268"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42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13</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212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十三、交通运输支出</w:t>
            </w:r>
          </w:p>
        </w:tc>
        <w:tc>
          <w:tcPr>
            <w:tcW w:w="567"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41</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9" w:hRule="atLeast"/>
        </w:trPr>
        <w:tc>
          <w:tcPr>
            <w:tcW w:w="2268"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42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14</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212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十四、资源勘探信息等支出</w:t>
            </w:r>
          </w:p>
        </w:tc>
        <w:tc>
          <w:tcPr>
            <w:tcW w:w="567"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42</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9" w:hRule="atLeast"/>
        </w:trPr>
        <w:tc>
          <w:tcPr>
            <w:tcW w:w="2268"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42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15</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212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十五、商业服务业等支出</w:t>
            </w:r>
          </w:p>
        </w:tc>
        <w:tc>
          <w:tcPr>
            <w:tcW w:w="567"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43</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9" w:hRule="atLeast"/>
        </w:trPr>
        <w:tc>
          <w:tcPr>
            <w:tcW w:w="2268"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42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16</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212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十六、金融支出</w:t>
            </w:r>
          </w:p>
        </w:tc>
        <w:tc>
          <w:tcPr>
            <w:tcW w:w="567"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44</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9" w:hRule="atLeast"/>
        </w:trPr>
        <w:tc>
          <w:tcPr>
            <w:tcW w:w="2268"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42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17</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212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十七、援助其他地区支出</w:t>
            </w:r>
          </w:p>
        </w:tc>
        <w:tc>
          <w:tcPr>
            <w:tcW w:w="567"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45</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9" w:hRule="atLeast"/>
        </w:trPr>
        <w:tc>
          <w:tcPr>
            <w:tcW w:w="2268"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42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18</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212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十八、国土海洋气象等支出</w:t>
            </w:r>
          </w:p>
        </w:tc>
        <w:tc>
          <w:tcPr>
            <w:tcW w:w="567"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46</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9" w:hRule="atLeast"/>
        </w:trPr>
        <w:tc>
          <w:tcPr>
            <w:tcW w:w="2268"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42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19</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212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十九、住房保障支出</w:t>
            </w:r>
          </w:p>
        </w:tc>
        <w:tc>
          <w:tcPr>
            <w:tcW w:w="567"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47</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740.06</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740.06</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9" w:hRule="atLeast"/>
        </w:trPr>
        <w:tc>
          <w:tcPr>
            <w:tcW w:w="2268"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42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20</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212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二十、粮油物资储备支出</w:t>
            </w:r>
          </w:p>
        </w:tc>
        <w:tc>
          <w:tcPr>
            <w:tcW w:w="567"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48</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9" w:hRule="atLeast"/>
        </w:trPr>
        <w:tc>
          <w:tcPr>
            <w:tcW w:w="2268"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42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21</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212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二十一、其他支出</w:t>
            </w:r>
          </w:p>
        </w:tc>
        <w:tc>
          <w:tcPr>
            <w:tcW w:w="567"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49</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9" w:hRule="atLeast"/>
        </w:trPr>
        <w:tc>
          <w:tcPr>
            <w:tcW w:w="2268"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42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22</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212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二十二、债务还本支出</w:t>
            </w:r>
          </w:p>
        </w:tc>
        <w:tc>
          <w:tcPr>
            <w:tcW w:w="567"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50</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9" w:hRule="atLeast"/>
        </w:trPr>
        <w:tc>
          <w:tcPr>
            <w:tcW w:w="2268"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42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23</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212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二十三、债务付息支出</w:t>
            </w:r>
          </w:p>
        </w:tc>
        <w:tc>
          <w:tcPr>
            <w:tcW w:w="567"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51</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9" w:hRule="atLeast"/>
        </w:trPr>
        <w:tc>
          <w:tcPr>
            <w:tcW w:w="2268"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b/>
                <w:bCs/>
                <w:color w:val="000000"/>
                <w:kern w:val="0"/>
                <w:sz w:val="16"/>
                <w:szCs w:val="16"/>
              </w:rPr>
            </w:pPr>
            <w:r>
              <w:rPr>
                <w:rFonts w:hint="eastAsia" w:ascii="宋体" w:hAnsi="宋体" w:cs="Arial"/>
                <w:b/>
                <w:bCs/>
                <w:color w:val="000000"/>
                <w:kern w:val="0"/>
                <w:sz w:val="16"/>
                <w:szCs w:val="16"/>
              </w:rPr>
              <w:t>本年收入合计</w:t>
            </w:r>
          </w:p>
        </w:tc>
        <w:tc>
          <w:tcPr>
            <w:tcW w:w="42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24</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27,275.46</w:t>
            </w:r>
          </w:p>
        </w:tc>
        <w:tc>
          <w:tcPr>
            <w:tcW w:w="212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b/>
                <w:bCs/>
                <w:color w:val="000000"/>
                <w:kern w:val="0"/>
                <w:sz w:val="16"/>
                <w:szCs w:val="16"/>
              </w:rPr>
            </w:pPr>
            <w:r>
              <w:rPr>
                <w:rFonts w:hint="eastAsia" w:ascii="宋体" w:hAnsi="宋体" w:cs="Arial"/>
                <w:b/>
                <w:bCs/>
                <w:color w:val="000000"/>
                <w:kern w:val="0"/>
                <w:sz w:val="16"/>
                <w:szCs w:val="16"/>
              </w:rPr>
              <w:t>本年支出合计</w:t>
            </w:r>
          </w:p>
        </w:tc>
        <w:tc>
          <w:tcPr>
            <w:tcW w:w="567"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52</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27,801.25</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27,801.25</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9" w:hRule="atLeast"/>
        </w:trPr>
        <w:tc>
          <w:tcPr>
            <w:tcW w:w="2268"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年初财政拨款结转和结余</w:t>
            </w:r>
          </w:p>
        </w:tc>
        <w:tc>
          <w:tcPr>
            <w:tcW w:w="42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25</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6,089.24</w:t>
            </w:r>
          </w:p>
        </w:tc>
        <w:tc>
          <w:tcPr>
            <w:tcW w:w="212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年末财政拨款结转和结余</w:t>
            </w:r>
          </w:p>
        </w:tc>
        <w:tc>
          <w:tcPr>
            <w:tcW w:w="567"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53</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5,563.45</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5,563.45</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9" w:hRule="atLeast"/>
        </w:trPr>
        <w:tc>
          <w:tcPr>
            <w:tcW w:w="2268"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一般公共预算财政拨款</w:t>
            </w:r>
          </w:p>
        </w:tc>
        <w:tc>
          <w:tcPr>
            <w:tcW w:w="42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26</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6,089.24</w:t>
            </w:r>
          </w:p>
        </w:tc>
        <w:tc>
          <w:tcPr>
            <w:tcW w:w="212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54</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9" w:hRule="atLeast"/>
        </w:trPr>
        <w:tc>
          <w:tcPr>
            <w:tcW w:w="2268"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政府性基金预算财政拨款</w:t>
            </w:r>
          </w:p>
        </w:tc>
        <w:tc>
          <w:tcPr>
            <w:tcW w:w="42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27</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212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55</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9" w:hRule="atLeast"/>
        </w:trPr>
        <w:tc>
          <w:tcPr>
            <w:tcW w:w="2268"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b/>
                <w:bCs/>
                <w:color w:val="000000"/>
                <w:kern w:val="0"/>
                <w:sz w:val="16"/>
                <w:szCs w:val="16"/>
              </w:rPr>
            </w:pPr>
            <w:r>
              <w:rPr>
                <w:rFonts w:hint="eastAsia" w:ascii="宋体" w:hAnsi="宋体" w:cs="Arial"/>
                <w:b/>
                <w:bCs/>
                <w:color w:val="000000"/>
                <w:kern w:val="0"/>
                <w:sz w:val="16"/>
                <w:szCs w:val="16"/>
              </w:rPr>
              <w:t>总计</w:t>
            </w:r>
          </w:p>
        </w:tc>
        <w:tc>
          <w:tcPr>
            <w:tcW w:w="42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28</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33,364.70</w:t>
            </w:r>
          </w:p>
        </w:tc>
        <w:tc>
          <w:tcPr>
            <w:tcW w:w="2126"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b/>
                <w:bCs/>
                <w:color w:val="000000"/>
                <w:kern w:val="0"/>
                <w:sz w:val="16"/>
                <w:szCs w:val="16"/>
              </w:rPr>
            </w:pPr>
            <w:r>
              <w:rPr>
                <w:rFonts w:hint="eastAsia" w:ascii="宋体" w:hAnsi="宋体" w:cs="Arial"/>
                <w:b/>
                <w:bCs/>
                <w:color w:val="000000"/>
                <w:kern w:val="0"/>
                <w:sz w:val="16"/>
                <w:szCs w:val="16"/>
              </w:rPr>
              <w:t>总计</w:t>
            </w:r>
          </w:p>
        </w:tc>
        <w:tc>
          <w:tcPr>
            <w:tcW w:w="567"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56</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33,364.70</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33,364.70</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9" w:hRule="atLeast"/>
        </w:trPr>
        <w:tc>
          <w:tcPr>
            <w:tcW w:w="9356" w:type="dxa"/>
            <w:gridSpan w:val="8"/>
            <w:tcBorders>
              <w:top w:val="nil"/>
              <w:left w:val="nil"/>
              <w:bottom w:val="nil"/>
              <w:right w:val="nil"/>
            </w:tcBorders>
            <w:shd w:val="clear" w:color="auto" w:fill="auto"/>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注：本表反映部门本年度一般公共预算财政拨款和政府性基金预算财政拨款的总收支和年末结转结余情况。</w:t>
            </w:r>
          </w:p>
        </w:tc>
      </w:tr>
      <w:tr>
        <w:tblPrEx>
          <w:tblCellMar>
            <w:top w:w="0" w:type="dxa"/>
            <w:left w:w="108" w:type="dxa"/>
            <w:bottom w:w="0" w:type="dxa"/>
            <w:right w:w="108" w:type="dxa"/>
          </w:tblCellMar>
        </w:tblPrEx>
        <w:trPr>
          <w:trHeight w:val="264" w:hRule="atLeast"/>
        </w:trPr>
        <w:tc>
          <w:tcPr>
            <w:tcW w:w="9356" w:type="dxa"/>
            <w:gridSpan w:val="8"/>
            <w:tcBorders>
              <w:top w:val="nil"/>
              <w:left w:val="nil"/>
              <w:bottom w:val="nil"/>
              <w:right w:val="nil"/>
            </w:tcBorders>
            <w:shd w:val="clear" w:color="auto" w:fill="auto"/>
            <w:noWrap/>
            <w:vAlign w:val="center"/>
          </w:tcPr>
          <w:p>
            <w:pPr>
              <w:widowControl/>
              <w:spacing w:after="0" w:line="240" w:lineRule="auto"/>
              <w:jc w:val="center"/>
              <w:rPr>
                <w:rFonts w:eastAsia="Times New Roman"/>
                <w:kern w:val="0"/>
                <w:sz w:val="16"/>
                <w:szCs w:val="16"/>
              </w:rPr>
            </w:pPr>
            <w:r>
              <w:rPr>
                <w:rFonts w:hint="eastAsia" w:ascii="宋体" w:hAnsi="宋体" w:cs="Arial"/>
                <w:color w:val="000000"/>
                <w:kern w:val="0"/>
                <w:sz w:val="16"/>
                <w:szCs w:val="16"/>
              </w:rPr>
              <w:t>— 4 —</w:t>
            </w:r>
          </w:p>
        </w:tc>
      </w:tr>
    </w:tbl>
    <w:p>
      <w:pPr>
        <w:spacing w:after="0" w:line="240" w:lineRule="auto"/>
        <w:rPr>
          <w:rFonts w:ascii="Calibri" w:hAnsi="Calibri"/>
          <w:szCs w:val="22"/>
        </w:rPr>
      </w:pPr>
    </w:p>
    <w:tbl>
      <w:tblPr>
        <w:tblStyle w:val="12"/>
        <w:tblW w:w="9548" w:type="dxa"/>
        <w:tblInd w:w="0" w:type="dxa"/>
        <w:tblLayout w:type="fixed"/>
        <w:tblCellMar>
          <w:top w:w="0" w:type="dxa"/>
          <w:left w:w="108" w:type="dxa"/>
          <w:bottom w:w="0" w:type="dxa"/>
          <w:right w:w="108" w:type="dxa"/>
        </w:tblCellMar>
      </w:tblPr>
      <w:tblGrid>
        <w:gridCol w:w="294"/>
        <w:gridCol w:w="281"/>
        <w:gridCol w:w="273"/>
        <w:gridCol w:w="3277"/>
        <w:gridCol w:w="1795"/>
        <w:gridCol w:w="1843"/>
        <w:gridCol w:w="1785"/>
      </w:tblGrid>
      <w:tr>
        <w:tblPrEx>
          <w:tblCellMar>
            <w:top w:w="0" w:type="dxa"/>
            <w:left w:w="108" w:type="dxa"/>
            <w:bottom w:w="0" w:type="dxa"/>
            <w:right w:w="108" w:type="dxa"/>
          </w:tblCellMar>
        </w:tblPrEx>
        <w:trPr>
          <w:trHeight w:val="384" w:hRule="atLeast"/>
        </w:trPr>
        <w:tc>
          <w:tcPr>
            <w:tcW w:w="294" w:type="dxa"/>
            <w:tcBorders>
              <w:top w:val="nil"/>
              <w:left w:val="nil"/>
              <w:bottom w:val="nil"/>
              <w:right w:val="nil"/>
            </w:tcBorders>
            <w:shd w:val="clear" w:color="auto" w:fill="auto"/>
            <w:noWrap/>
            <w:vAlign w:val="bottom"/>
          </w:tcPr>
          <w:p>
            <w:pPr>
              <w:widowControl/>
              <w:spacing w:after="0" w:line="240" w:lineRule="auto"/>
              <w:jc w:val="left"/>
              <w:rPr>
                <w:rFonts w:ascii="宋体" w:hAnsi="宋体" w:cs="宋体"/>
                <w:kern w:val="0"/>
                <w:sz w:val="18"/>
                <w:szCs w:val="18"/>
              </w:rPr>
            </w:pPr>
          </w:p>
        </w:tc>
        <w:tc>
          <w:tcPr>
            <w:tcW w:w="9254" w:type="dxa"/>
            <w:gridSpan w:val="6"/>
            <w:tcBorders>
              <w:top w:val="nil"/>
              <w:left w:val="nil"/>
              <w:bottom w:val="nil"/>
              <w:right w:val="nil"/>
            </w:tcBorders>
            <w:shd w:val="clear" w:color="auto" w:fill="auto"/>
            <w:noWrap/>
            <w:vAlign w:val="center"/>
          </w:tcPr>
          <w:p>
            <w:pPr>
              <w:widowControl/>
              <w:spacing w:after="0" w:line="240" w:lineRule="auto"/>
              <w:jc w:val="center"/>
              <w:rPr>
                <w:rFonts w:eastAsia="Times New Roman"/>
                <w:b/>
                <w:bCs/>
                <w:kern w:val="0"/>
                <w:sz w:val="30"/>
                <w:szCs w:val="30"/>
              </w:rPr>
            </w:pPr>
            <w:r>
              <w:rPr>
                <w:rFonts w:hint="eastAsia" w:ascii="宋体" w:hAnsi="宋体" w:cs="Arial"/>
                <w:b/>
                <w:bCs/>
                <w:color w:val="000000"/>
                <w:kern w:val="0"/>
                <w:sz w:val="30"/>
                <w:szCs w:val="30"/>
              </w:rPr>
              <w:t>一般公共预算财政拨款支出决算表</w:t>
            </w:r>
          </w:p>
        </w:tc>
      </w:tr>
      <w:tr>
        <w:tblPrEx>
          <w:tblCellMar>
            <w:top w:w="0" w:type="dxa"/>
            <w:left w:w="108" w:type="dxa"/>
            <w:bottom w:w="0" w:type="dxa"/>
            <w:right w:w="108" w:type="dxa"/>
          </w:tblCellMar>
        </w:tblPrEx>
        <w:trPr>
          <w:trHeight w:val="264" w:hRule="atLeast"/>
        </w:trPr>
        <w:tc>
          <w:tcPr>
            <w:tcW w:w="294"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281"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273"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3277"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795"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843"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785" w:type="dxa"/>
            <w:tcBorders>
              <w:top w:val="nil"/>
              <w:left w:val="nil"/>
              <w:bottom w:val="nil"/>
              <w:right w:val="nil"/>
            </w:tcBorders>
            <w:shd w:val="clear" w:color="auto" w:fill="auto"/>
            <w:noWrap/>
            <w:vAlign w:val="bottom"/>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公开05表</w:t>
            </w:r>
          </w:p>
        </w:tc>
      </w:tr>
      <w:tr>
        <w:tblPrEx>
          <w:tblCellMar>
            <w:top w:w="0" w:type="dxa"/>
            <w:left w:w="108" w:type="dxa"/>
            <w:bottom w:w="0" w:type="dxa"/>
            <w:right w:w="108" w:type="dxa"/>
          </w:tblCellMar>
        </w:tblPrEx>
        <w:trPr>
          <w:trHeight w:val="264" w:hRule="atLeast"/>
        </w:trPr>
        <w:tc>
          <w:tcPr>
            <w:tcW w:w="4125" w:type="dxa"/>
            <w:gridSpan w:val="4"/>
            <w:tcBorders>
              <w:top w:val="nil"/>
              <w:left w:val="nil"/>
              <w:bottom w:val="nil"/>
              <w:right w:val="nil"/>
            </w:tcBorders>
            <w:shd w:val="clear" w:color="auto" w:fill="auto"/>
            <w:noWrap/>
            <w:vAlign w:val="bottom"/>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部门：唐山市环境保护局系统（汇总）</w:t>
            </w:r>
          </w:p>
        </w:tc>
        <w:tc>
          <w:tcPr>
            <w:tcW w:w="1795" w:type="dxa"/>
            <w:tcBorders>
              <w:top w:val="nil"/>
              <w:left w:val="nil"/>
              <w:bottom w:val="nil"/>
              <w:right w:val="nil"/>
            </w:tcBorders>
            <w:shd w:val="clear" w:color="auto" w:fill="auto"/>
            <w:noWrap/>
            <w:vAlign w:val="bottom"/>
          </w:tcPr>
          <w:p>
            <w:pPr>
              <w:widowControl/>
              <w:spacing w:after="0" w:line="240" w:lineRule="auto"/>
              <w:jc w:val="left"/>
              <w:rPr>
                <w:rFonts w:ascii="宋体" w:hAnsi="宋体" w:cs="Arial"/>
                <w:color w:val="000000"/>
                <w:kern w:val="0"/>
                <w:sz w:val="18"/>
                <w:szCs w:val="18"/>
              </w:rPr>
            </w:pPr>
          </w:p>
        </w:tc>
        <w:tc>
          <w:tcPr>
            <w:tcW w:w="1843"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785" w:type="dxa"/>
            <w:tcBorders>
              <w:top w:val="nil"/>
              <w:left w:val="nil"/>
              <w:bottom w:val="nil"/>
              <w:right w:val="nil"/>
            </w:tcBorders>
            <w:shd w:val="clear" w:color="auto" w:fill="auto"/>
            <w:noWrap/>
            <w:vAlign w:val="bottom"/>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金额单位：万元</w:t>
            </w:r>
          </w:p>
        </w:tc>
      </w:tr>
      <w:tr>
        <w:tblPrEx>
          <w:tblCellMar>
            <w:top w:w="0" w:type="dxa"/>
            <w:left w:w="108" w:type="dxa"/>
            <w:bottom w:w="0" w:type="dxa"/>
            <w:right w:w="108" w:type="dxa"/>
          </w:tblCellMar>
        </w:tblPrEx>
        <w:trPr>
          <w:trHeight w:val="309" w:hRule="atLeast"/>
        </w:trPr>
        <w:tc>
          <w:tcPr>
            <w:tcW w:w="4125"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5423" w:type="dxa"/>
            <w:gridSpan w:val="3"/>
            <w:tcBorders>
              <w:top w:val="single" w:color="000000" w:sz="4" w:space="0"/>
              <w:left w:val="nil"/>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本年支出</w:t>
            </w:r>
          </w:p>
        </w:tc>
      </w:tr>
      <w:tr>
        <w:tblPrEx>
          <w:tblCellMar>
            <w:top w:w="0" w:type="dxa"/>
            <w:left w:w="108" w:type="dxa"/>
            <w:bottom w:w="0" w:type="dxa"/>
            <w:right w:w="108" w:type="dxa"/>
          </w:tblCellMar>
        </w:tblPrEx>
        <w:trPr>
          <w:trHeight w:val="312" w:hRule="atLeast"/>
        </w:trPr>
        <w:tc>
          <w:tcPr>
            <w:tcW w:w="848"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功能分类科目编码</w:t>
            </w:r>
          </w:p>
        </w:tc>
        <w:tc>
          <w:tcPr>
            <w:tcW w:w="3277" w:type="dxa"/>
            <w:vMerge w:val="restart"/>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科目名称</w:t>
            </w:r>
          </w:p>
        </w:tc>
        <w:tc>
          <w:tcPr>
            <w:tcW w:w="1795" w:type="dxa"/>
            <w:vMerge w:val="restart"/>
            <w:tcBorders>
              <w:top w:val="nil"/>
              <w:left w:val="nil"/>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小计</w:t>
            </w:r>
          </w:p>
        </w:tc>
        <w:tc>
          <w:tcPr>
            <w:tcW w:w="1843" w:type="dxa"/>
            <w:vMerge w:val="restart"/>
            <w:tcBorders>
              <w:top w:val="nil"/>
              <w:left w:val="nil"/>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基本支出</w:t>
            </w:r>
          </w:p>
        </w:tc>
        <w:tc>
          <w:tcPr>
            <w:tcW w:w="1785" w:type="dxa"/>
            <w:vMerge w:val="restart"/>
            <w:tcBorders>
              <w:top w:val="nil"/>
              <w:left w:val="nil"/>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项目支出</w:t>
            </w:r>
          </w:p>
        </w:tc>
      </w:tr>
      <w:tr>
        <w:tblPrEx>
          <w:tblCellMar>
            <w:top w:w="0" w:type="dxa"/>
            <w:left w:w="108" w:type="dxa"/>
            <w:bottom w:w="0" w:type="dxa"/>
            <w:right w:w="108" w:type="dxa"/>
          </w:tblCellMar>
        </w:tblPrEx>
        <w:trPr>
          <w:trHeight w:val="312" w:hRule="atLeast"/>
        </w:trPr>
        <w:tc>
          <w:tcPr>
            <w:tcW w:w="848" w:type="dxa"/>
            <w:gridSpan w:val="3"/>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3277"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1795"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1843"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1785"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r>
      <w:tr>
        <w:tblPrEx>
          <w:tblCellMar>
            <w:top w:w="0" w:type="dxa"/>
            <w:left w:w="108" w:type="dxa"/>
            <w:bottom w:w="0" w:type="dxa"/>
            <w:right w:w="108" w:type="dxa"/>
          </w:tblCellMar>
        </w:tblPrEx>
        <w:trPr>
          <w:trHeight w:val="312" w:hRule="atLeast"/>
        </w:trPr>
        <w:tc>
          <w:tcPr>
            <w:tcW w:w="848" w:type="dxa"/>
            <w:gridSpan w:val="3"/>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3277"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1795"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1843"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1785"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r>
      <w:tr>
        <w:tblPrEx>
          <w:tblCellMar>
            <w:top w:w="0" w:type="dxa"/>
            <w:left w:w="108" w:type="dxa"/>
            <w:bottom w:w="0" w:type="dxa"/>
            <w:right w:w="108" w:type="dxa"/>
          </w:tblCellMar>
        </w:tblPrEx>
        <w:trPr>
          <w:trHeight w:val="309" w:hRule="atLeast"/>
        </w:trPr>
        <w:tc>
          <w:tcPr>
            <w:tcW w:w="4125"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1795"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843"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785"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3</w:t>
            </w:r>
          </w:p>
        </w:tc>
      </w:tr>
      <w:tr>
        <w:tblPrEx>
          <w:tblCellMar>
            <w:top w:w="0" w:type="dxa"/>
            <w:left w:w="108" w:type="dxa"/>
            <w:bottom w:w="0" w:type="dxa"/>
            <w:right w:w="108" w:type="dxa"/>
          </w:tblCellMar>
        </w:tblPrEx>
        <w:trPr>
          <w:trHeight w:val="309" w:hRule="atLeast"/>
        </w:trPr>
        <w:tc>
          <w:tcPr>
            <w:tcW w:w="4125"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179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b/>
                <w:bCs/>
                <w:color w:val="000000"/>
                <w:kern w:val="0"/>
                <w:sz w:val="18"/>
                <w:szCs w:val="18"/>
              </w:rPr>
            </w:pPr>
            <w:r>
              <w:rPr>
                <w:rFonts w:hint="eastAsia" w:ascii="宋体" w:hAnsi="宋体" w:cs="Arial"/>
                <w:b/>
                <w:bCs/>
                <w:color w:val="000000"/>
                <w:kern w:val="0"/>
                <w:sz w:val="18"/>
                <w:szCs w:val="18"/>
              </w:rPr>
              <w:t>27,801.25</w:t>
            </w:r>
          </w:p>
        </w:tc>
        <w:tc>
          <w:tcPr>
            <w:tcW w:w="184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b/>
                <w:bCs/>
                <w:color w:val="000000"/>
                <w:kern w:val="0"/>
                <w:sz w:val="18"/>
                <w:szCs w:val="18"/>
              </w:rPr>
            </w:pPr>
            <w:r>
              <w:rPr>
                <w:rFonts w:hint="eastAsia" w:ascii="宋体" w:hAnsi="宋体" w:cs="Arial"/>
                <w:b/>
                <w:bCs/>
                <w:color w:val="000000"/>
                <w:kern w:val="0"/>
                <w:sz w:val="18"/>
                <w:szCs w:val="18"/>
              </w:rPr>
              <w:t>16,052.74</w:t>
            </w:r>
          </w:p>
        </w:tc>
        <w:tc>
          <w:tcPr>
            <w:tcW w:w="178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b/>
                <w:bCs/>
                <w:color w:val="000000"/>
                <w:kern w:val="0"/>
                <w:sz w:val="18"/>
                <w:szCs w:val="18"/>
              </w:rPr>
            </w:pPr>
            <w:r>
              <w:rPr>
                <w:rFonts w:hint="eastAsia" w:ascii="宋体" w:hAnsi="宋体" w:cs="Arial"/>
                <w:b/>
                <w:bCs/>
                <w:color w:val="000000"/>
                <w:kern w:val="0"/>
                <w:sz w:val="18"/>
                <w:szCs w:val="18"/>
              </w:rPr>
              <w:t>11,748.51</w:t>
            </w:r>
          </w:p>
        </w:tc>
      </w:tr>
      <w:tr>
        <w:tblPrEx>
          <w:tblCellMar>
            <w:top w:w="0" w:type="dxa"/>
            <w:left w:w="108" w:type="dxa"/>
            <w:bottom w:w="0" w:type="dxa"/>
            <w:right w:w="108" w:type="dxa"/>
          </w:tblCellMar>
        </w:tblPrEx>
        <w:trPr>
          <w:trHeight w:val="309" w:hRule="atLeast"/>
        </w:trPr>
        <w:tc>
          <w:tcPr>
            <w:tcW w:w="8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201</w:t>
            </w:r>
          </w:p>
        </w:tc>
        <w:tc>
          <w:tcPr>
            <w:tcW w:w="327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一般公共服务支出</w:t>
            </w:r>
          </w:p>
        </w:tc>
        <w:tc>
          <w:tcPr>
            <w:tcW w:w="179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13.83</w:t>
            </w:r>
          </w:p>
        </w:tc>
        <w:tc>
          <w:tcPr>
            <w:tcW w:w="184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4.42</w:t>
            </w:r>
          </w:p>
        </w:tc>
        <w:tc>
          <w:tcPr>
            <w:tcW w:w="178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9.42</w:t>
            </w:r>
          </w:p>
        </w:tc>
      </w:tr>
      <w:tr>
        <w:tblPrEx>
          <w:tblCellMar>
            <w:top w:w="0" w:type="dxa"/>
            <w:left w:w="108" w:type="dxa"/>
            <w:bottom w:w="0" w:type="dxa"/>
            <w:right w:w="108" w:type="dxa"/>
          </w:tblCellMar>
        </w:tblPrEx>
        <w:trPr>
          <w:trHeight w:val="309" w:hRule="atLeast"/>
        </w:trPr>
        <w:tc>
          <w:tcPr>
            <w:tcW w:w="8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20106</w:t>
            </w:r>
          </w:p>
        </w:tc>
        <w:tc>
          <w:tcPr>
            <w:tcW w:w="327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财政事务</w:t>
            </w:r>
          </w:p>
        </w:tc>
        <w:tc>
          <w:tcPr>
            <w:tcW w:w="179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4.42</w:t>
            </w:r>
          </w:p>
        </w:tc>
        <w:tc>
          <w:tcPr>
            <w:tcW w:w="184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4.42</w:t>
            </w:r>
          </w:p>
        </w:tc>
        <w:tc>
          <w:tcPr>
            <w:tcW w:w="178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8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2010601</w:t>
            </w:r>
          </w:p>
        </w:tc>
        <w:tc>
          <w:tcPr>
            <w:tcW w:w="327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xml:space="preserve">  行政运行</w:t>
            </w:r>
          </w:p>
        </w:tc>
        <w:tc>
          <w:tcPr>
            <w:tcW w:w="179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4.42</w:t>
            </w:r>
          </w:p>
        </w:tc>
        <w:tc>
          <w:tcPr>
            <w:tcW w:w="184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4.42</w:t>
            </w:r>
          </w:p>
        </w:tc>
        <w:tc>
          <w:tcPr>
            <w:tcW w:w="178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8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20110</w:t>
            </w:r>
          </w:p>
        </w:tc>
        <w:tc>
          <w:tcPr>
            <w:tcW w:w="327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人力资源事务</w:t>
            </w:r>
          </w:p>
        </w:tc>
        <w:tc>
          <w:tcPr>
            <w:tcW w:w="179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9.42</w:t>
            </w:r>
          </w:p>
        </w:tc>
        <w:tc>
          <w:tcPr>
            <w:tcW w:w="184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8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9.42</w:t>
            </w:r>
          </w:p>
        </w:tc>
      </w:tr>
      <w:tr>
        <w:tblPrEx>
          <w:tblCellMar>
            <w:top w:w="0" w:type="dxa"/>
            <w:left w:w="108" w:type="dxa"/>
            <w:bottom w:w="0" w:type="dxa"/>
            <w:right w:w="108" w:type="dxa"/>
          </w:tblCellMar>
        </w:tblPrEx>
        <w:trPr>
          <w:trHeight w:val="309" w:hRule="atLeast"/>
        </w:trPr>
        <w:tc>
          <w:tcPr>
            <w:tcW w:w="8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2011002</w:t>
            </w:r>
          </w:p>
        </w:tc>
        <w:tc>
          <w:tcPr>
            <w:tcW w:w="327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xml:space="preserve">  一般行政管理事务</w:t>
            </w:r>
          </w:p>
        </w:tc>
        <w:tc>
          <w:tcPr>
            <w:tcW w:w="179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9.42</w:t>
            </w:r>
          </w:p>
        </w:tc>
        <w:tc>
          <w:tcPr>
            <w:tcW w:w="184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8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9.42</w:t>
            </w:r>
          </w:p>
        </w:tc>
      </w:tr>
      <w:tr>
        <w:tblPrEx>
          <w:tblCellMar>
            <w:top w:w="0" w:type="dxa"/>
            <w:left w:w="108" w:type="dxa"/>
            <w:bottom w:w="0" w:type="dxa"/>
            <w:right w:w="108" w:type="dxa"/>
          </w:tblCellMar>
        </w:tblPrEx>
        <w:trPr>
          <w:trHeight w:val="309" w:hRule="atLeast"/>
        </w:trPr>
        <w:tc>
          <w:tcPr>
            <w:tcW w:w="8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205</w:t>
            </w:r>
          </w:p>
        </w:tc>
        <w:tc>
          <w:tcPr>
            <w:tcW w:w="327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教育支出</w:t>
            </w:r>
          </w:p>
        </w:tc>
        <w:tc>
          <w:tcPr>
            <w:tcW w:w="179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38.42</w:t>
            </w:r>
          </w:p>
        </w:tc>
        <w:tc>
          <w:tcPr>
            <w:tcW w:w="184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38.42</w:t>
            </w:r>
          </w:p>
        </w:tc>
        <w:tc>
          <w:tcPr>
            <w:tcW w:w="178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8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20508</w:t>
            </w:r>
          </w:p>
        </w:tc>
        <w:tc>
          <w:tcPr>
            <w:tcW w:w="327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进修及培训</w:t>
            </w:r>
          </w:p>
        </w:tc>
        <w:tc>
          <w:tcPr>
            <w:tcW w:w="179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38.42</w:t>
            </w:r>
          </w:p>
        </w:tc>
        <w:tc>
          <w:tcPr>
            <w:tcW w:w="184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38.42</w:t>
            </w:r>
          </w:p>
        </w:tc>
        <w:tc>
          <w:tcPr>
            <w:tcW w:w="178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8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2050803</w:t>
            </w:r>
          </w:p>
        </w:tc>
        <w:tc>
          <w:tcPr>
            <w:tcW w:w="327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xml:space="preserve">  培训支出</w:t>
            </w:r>
          </w:p>
        </w:tc>
        <w:tc>
          <w:tcPr>
            <w:tcW w:w="179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38.42</w:t>
            </w:r>
          </w:p>
        </w:tc>
        <w:tc>
          <w:tcPr>
            <w:tcW w:w="184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38.42</w:t>
            </w:r>
          </w:p>
        </w:tc>
        <w:tc>
          <w:tcPr>
            <w:tcW w:w="178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8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208</w:t>
            </w:r>
          </w:p>
        </w:tc>
        <w:tc>
          <w:tcPr>
            <w:tcW w:w="327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社会保障和就业支出</w:t>
            </w:r>
          </w:p>
        </w:tc>
        <w:tc>
          <w:tcPr>
            <w:tcW w:w="179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1,490.93</w:t>
            </w:r>
          </w:p>
        </w:tc>
        <w:tc>
          <w:tcPr>
            <w:tcW w:w="184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1,490.93</w:t>
            </w:r>
          </w:p>
        </w:tc>
        <w:tc>
          <w:tcPr>
            <w:tcW w:w="178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8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20805</w:t>
            </w:r>
          </w:p>
        </w:tc>
        <w:tc>
          <w:tcPr>
            <w:tcW w:w="327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行政事业单位离退休</w:t>
            </w:r>
          </w:p>
        </w:tc>
        <w:tc>
          <w:tcPr>
            <w:tcW w:w="179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1,490.93</w:t>
            </w:r>
          </w:p>
        </w:tc>
        <w:tc>
          <w:tcPr>
            <w:tcW w:w="184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1,490.93</w:t>
            </w:r>
          </w:p>
        </w:tc>
        <w:tc>
          <w:tcPr>
            <w:tcW w:w="178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8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2080505</w:t>
            </w:r>
          </w:p>
        </w:tc>
        <w:tc>
          <w:tcPr>
            <w:tcW w:w="327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xml:space="preserve">  机关事业单位基本养老保险缴费支出</w:t>
            </w:r>
          </w:p>
        </w:tc>
        <w:tc>
          <w:tcPr>
            <w:tcW w:w="179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1,336.11</w:t>
            </w:r>
          </w:p>
        </w:tc>
        <w:tc>
          <w:tcPr>
            <w:tcW w:w="184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1,336.11</w:t>
            </w:r>
          </w:p>
        </w:tc>
        <w:tc>
          <w:tcPr>
            <w:tcW w:w="178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8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2080506</w:t>
            </w:r>
          </w:p>
        </w:tc>
        <w:tc>
          <w:tcPr>
            <w:tcW w:w="327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xml:space="preserve">  机关事业单位职业年金缴费支出</w:t>
            </w:r>
          </w:p>
        </w:tc>
        <w:tc>
          <w:tcPr>
            <w:tcW w:w="179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154.82</w:t>
            </w:r>
          </w:p>
        </w:tc>
        <w:tc>
          <w:tcPr>
            <w:tcW w:w="184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154.82</w:t>
            </w:r>
          </w:p>
        </w:tc>
        <w:tc>
          <w:tcPr>
            <w:tcW w:w="178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8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210</w:t>
            </w:r>
          </w:p>
        </w:tc>
        <w:tc>
          <w:tcPr>
            <w:tcW w:w="327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医疗卫生与计划生育支出</w:t>
            </w:r>
          </w:p>
        </w:tc>
        <w:tc>
          <w:tcPr>
            <w:tcW w:w="179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1,154.15</w:t>
            </w:r>
          </w:p>
        </w:tc>
        <w:tc>
          <w:tcPr>
            <w:tcW w:w="184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1,154.15</w:t>
            </w:r>
          </w:p>
        </w:tc>
        <w:tc>
          <w:tcPr>
            <w:tcW w:w="178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8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21011</w:t>
            </w:r>
          </w:p>
        </w:tc>
        <w:tc>
          <w:tcPr>
            <w:tcW w:w="327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行政事业单位医疗</w:t>
            </w:r>
          </w:p>
        </w:tc>
        <w:tc>
          <w:tcPr>
            <w:tcW w:w="179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1,154.15</w:t>
            </w:r>
          </w:p>
        </w:tc>
        <w:tc>
          <w:tcPr>
            <w:tcW w:w="184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1,154.15</w:t>
            </w:r>
          </w:p>
        </w:tc>
        <w:tc>
          <w:tcPr>
            <w:tcW w:w="178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8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2101101</w:t>
            </w:r>
          </w:p>
        </w:tc>
        <w:tc>
          <w:tcPr>
            <w:tcW w:w="327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xml:space="preserve">  行政单位医疗</w:t>
            </w:r>
          </w:p>
        </w:tc>
        <w:tc>
          <w:tcPr>
            <w:tcW w:w="179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405.01</w:t>
            </w:r>
          </w:p>
        </w:tc>
        <w:tc>
          <w:tcPr>
            <w:tcW w:w="184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405.01</w:t>
            </w:r>
          </w:p>
        </w:tc>
        <w:tc>
          <w:tcPr>
            <w:tcW w:w="178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8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2101102</w:t>
            </w:r>
          </w:p>
        </w:tc>
        <w:tc>
          <w:tcPr>
            <w:tcW w:w="327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xml:space="preserve">  事业单位医疗</w:t>
            </w:r>
          </w:p>
        </w:tc>
        <w:tc>
          <w:tcPr>
            <w:tcW w:w="179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749.14</w:t>
            </w:r>
          </w:p>
        </w:tc>
        <w:tc>
          <w:tcPr>
            <w:tcW w:w="184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749.14</w:t>
            </w:r>
          </w:p>
        </w:tc>
        <w:tc>
          <w:tcPr>
            <w:tcW w:w="178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8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211</w:t>
            </w:r>
          </w:p>
        </w:tc>
        <w:tc>
          <w:tcPr>
            <w:tcW w:w="327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节能环保支出</w:t>
            </w:r>
          </w:p>
        </w:tc>
        <w:tc>
          <w:tcPr>
            <w:tcW w:w="179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24,363.86</w:t>
            </w:r>
          </w:p>
        </w:tc>
        <w:tc>
          <w:tcPr>
            <w:tcW w:w="184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12,624.76</w:t>
            </w:r>
          </w:p>
        </w:tc>
        <w:tc>
          <w:tcPr>
            <w:tcW w:w="178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11,739.10</w:t>
            </w:r>
          </w:p>
        </w:tc>
      </w:tr>
      <w:tr>
        <w:tblPrEx>
          <w:tblCellMar>
            <w:top w:w="0" w:type="dxa"/>
            <w:left w:w="108" w:type="dxa"/>
            <w:bottom w:w="0" w:type="dxa"/>
            <w:right w:w="108" w:type="dxa"/>
          </w:tblCellMar>
        </w:tblPrEx>
        <w:trPr>
          <w:trHeight w:val="309" w:hRule="atLeast"/>
        </w:trPr>
        <w:tc>
          <w:tcPr>
            <w:tcW w:w="8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21101</w:t>
            </w:r>
          </w:p>
        </w:tc>
        <w:tc>
          <w:tcPr>
            <w:tcW w:w="327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环境保护管理事务</w:t>
            </w:r>
          </w:p>
        </w:tc>
        <w:tc>
          <w:tcPr>
            <w:tcW w:w="179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11,913.63</w:t>
            </w:r>
          </w:p>
        </w:tc>
        <w:tc>
          <w:tcPr>
            <w:tcW w:w="184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11,189.75</w:t>
            </w:r>
          </w:p>
        </w:tc>
        <w:tc>
          <w:tcPr>
            <w:tcW w:w="178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723.88</w:t>
            </w:r>
          </w:p>
        </w:tc>
      </w:tr>
      <w:tr>
        <w:tblPrEx>
          <w:tblCellMar>
            <w:top w:w="0" w:type="dxa"/>
            <w:left w:w="108" w:type="dxa"/>
            <w:bottom w:w="0" w:type="dxa"/>
            <w:right w:w="108" w:type="dxa"/>
          </w:tblCellMar>
        </w:tblPrEx>
        <w:trPr>
          <w:trHeight w:val="309" w:hRule="atLeast"/>
        </w:trPr>
        <w:tc>
          <w:tcPr>
            <w:tcW w:w="8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2110101</w:t>
            </w:r>
          </w:p>
        </w:tc>
        <w:tc>
          <w:tcPr>
            <w:tcW w:w="327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xml:space="preserve">  行政运行</w:t>
            </w:r>
          </w:p>
        </w:tc>
        <w:tc>
          <w:tcPr>
            <w:tcW w:w="179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4,872.48</w:t>
            </w:r>
          </w:p>
        </w:tc>
        <w:tc>
          <w:tcPr>
            <w:tcW w:w="184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4,854.51</w:t>
            </w:r>
          </w:p>
        </w:tc>
        <w:tc>
          <w:tcPr>
            <w:tcW w:w="178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17.98</w:t>
            </w:r>
          </w:p>
        </w:tc>
      </w:tr>
      <w:tr>
        <w:tblPrEx>
          <w:tblCellMar>
            <w:top w:w="0" w:type="dxa"/>
            <w:left w:w="108" w:type="dxa"/>
            <w:bottom w:w="0" w:type="dxa"/>
            <w:right w:w="108" w:type="dxa"/>
          </w:tblCellMar>
        </w:tblPrEx>
        <w:trPr>
          <w:trHeight w:val="309" w:hRule="atLeast"/>
        </w:trPr>
        <w:tc>
          <w:tcPr>
            <w:tcW w:w="8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2110102</w:t>
            </w:r>
          </w:p>
        </w:tc>
        <w:tc>
          <w:tcPr>
            <w:tcW w:w="327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xml:space="preserve">  一般行政管理事务</w:t>
            </w:r>
          </w:p>
        </w:tc>
        <w:tc>
          <w:tcPr>
            <w:tcW w:w="179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1,358.73</w:t>
            </w:r>
          </w:p>
        </w:tc>
        <w:tc>
          <w:tcPr>
            <w:tcW w:w="184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1,152.83</w:t>
            </w:r>
          </w:p>
        </w:tc>
        <w:tc>
          <w:tcPr>
            <w:tcW w:w="178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205.90</w:t>
            </w:r>
          </w:p>
        </w:tc>
      </w:tr>
      <w:tr>
        <w:tblPrEx>
          <w:tblCellMar>
            <w:top w:w="0" w:type="dxa"/>
            <w:left w:w="108" w:type="dxa"/>
            <w:bottom w:w="0" w:type="dxa"/>
            <w:right w:w="108" w:type="dxa"/>
          </w:tblCellMar>
        </w:tblPrEx>
        <w:trPr>
          <w:trHeight w:val="309" w:hRule="atLeast"/>
        </w:trPr>
        <w:tc>
          <w:tcPr>
            <w:tcW w:w="8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2110104</w:t>
            </w:r>
          </w:p>
        </w:tc>
        <w:tc>
          <w:tcPr>
            <w:tcW w:w="327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xml:space="preserve">  环境保护宣传</w:t>
            </w:r>
          </w:p>
        </w:tc>
        <w:tc>
          <w:tcPr>
            <w:tcW w:w="179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33.22</w:t>
            </w:r>
          </w:p>
        </w:tc>
        <w:tc>
          <w:tcPr>
            <w:tcW w:w="184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33.22</w:t>
            </w:r>
          </w:p>
        </w:tc>
        <w:tc>
          <w:tcPr>
            <w:tcW w:w="178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8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2110107</w:t>
            </w:r>
          </w:p>
        </w:tc>
        <w:tc>
          <w:tcPr>
            <w:tcW w:w="327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xml:space="preserve">  环境保护行政许可</w:t>
            </w:r>
          </w:p>
        </w:tc>
        <w:tc>
          <w:tcPr>
            <w:tcW w:w="179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1.89</w:t>
            </w:r>
          </w:p>
        </w:tc>
        <w:tc>
          <w:tcPr>
            <w:tcW w:w="184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1.89</w:t>
            </w:r>
          </w:p>
        </w:tc>
        <w:tc>
          <w:tcPr>
            <w:tcW w:w="178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8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2110199</w:t>
            </w:r>
          </w:p>
        </w:tc>
        <w:tc>
          <w:tcPr>
            <w:tcW w:w="327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xml:space="preserve">  其他环境保护管理事务支出</w:t>
            </w:r>
          </w:p>
        </w:tc>
        <w:tc>
          <w:tcPr>
            <w:tcW w:w="179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5,647.30</w:t>
            </w:r>
          </w:p>
        </w:tc>
        <w:tc>
          <w:tcPr>
            <w:tcW w:w="184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5,147.30</w:t>
            </w:r>
          </w:p>
        </w:tc>
        <w:tc>
          <w:tcPr>
            <w:tcW w:w="178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500.00</w:t>
            </w:r>
          </w:p>
        </w:tc>
      </w:tr>
      <w:tr>
        <w:tblPrEx>
          <w:tblCellMar>
            <w:top w:w="0" w:type="dxa"/>
            <w:left w:w="108" w:type="dxa"/>
            <w:bottom w:w="0" w:type="dxa"/>
            <w:right w:w="108" w:type="dxa"/>
          </w:tblCellMar>
        </w:tblPrEx>
        <w:trPr>
          <w:trHeight w:val="309" w:hRule="atLeast"/>
        </w:trPr>
        <w:tc>
          <w:tcPr>
            <w:tcW w:w="8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21102</w:t>
            </w:r>
          </w:p>
        </w:tc>
        <w:tc>
          <w:tcPr>
            <w:tcW w:w="327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环境监测与监察</w:t>
            </w:r>
          </w:p>
        </w:tc>
        <w:tc>
          <w:tcPr>
            <w:tcW w:w="179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3,188.59</w:t>
            </w:r>
          </w:p>
        </w:tc>
        <w:tc>
          <w:tcPr>
            <w:tcW w:w="184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1,435.01</w:t>
            </w:r>
          </w:p>
        </w:tc>
        <w:tc>
          <w:tcPr>
            <w:tcW w:w="178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1,753.58</w:t>
            </w:r>
          </w:p>
        </w:tc>
      </w:tr>
      <w:tr>
        <w:tblPrEx>
          <w:tblCellMar>
            <w:top w:w="0" w:type="dxa"/>
            <w:left w:w="108" w:type="dxa"/>
            <w:bottom w:w="0" w:type="dxa"/>
            <w:right w:w="108" w:type="dxa"/>
          </w:tblCellMar>
        </w:tblPrEx>
        <w:trPr>
          <w:trHeight w:val="309" w:hRule="atLeast"/>
        </w:trPr>
        <w:tc>
          <w:tcPr>
            <w:tcW w:w="8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2110299</w:t>
            </w:r>
          </w:p>
        </w:tc>
        <w:tc>
          <w:tcPr>
            <w:tcW w:w="327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xml:space="preserve">  其他环境监测与监察支出</w:t>
            </w:r>
          </w:p>
        </w:tc>
        <w:tc>
          <w:tcPr>
            <w:tcW w:w="179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3,188.59</w:t>
            </w:r>
          </w:p>
        </w:tc>
        <w:tc>
          <w:tcPr>
            <w:tcW w:w="184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1,435.01</w:t>
            </w:r>
          </w:p>
        </w:tc>
        <w:tc>
          <w:tcPr>
            <w:tcW w:w="178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1,753.58</w:t>
            </w:r>
          </w:p>
        </w:tc>
      </w:tr>
      <w:tr>
        <w:tblPrEx>
          <w:tblCellMar>
            <w:top w:w="0" w:type="dxa"/>
            <w:left w:w="108" w:type="dxa"/>
            <w:bottom w:w="0" w:type="dxa"/>
            <w:right w:w="108" w:type="dxa"/>
          </w:tblCellMar>
        </w:tblPrEx>
        <w:trPr>
          <w:trHeight w:val="309" w:hRule="atLeast"/>
        </w:trPr>
        <w:tc>
          <w:tcPr>
            <w:tcW w:w="8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21103</w:t>
            </w:r>
          </w:p>
        </w:tc>
        <w:tc>
          <w:tcPr>
            <w:tcW w:w="327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污染防治</w:t>
            </w:r>
          </w:p>
        </w:tc>
        <w:tc>
          <w:tcPr>
            <w:tcW w:w="179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9,257.64</w:t>
            </w:r>
          </w:p>
        </w:tc>
        <w:tc>
          <w:tcPr>
            <w:tcW w:w="184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8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9,257.64</w:t>
            </w:r>
          </w:p>
        </w:tc>
      </w:tr>
      <w:tr>
        <w:tblPrEx>
          <w:tblCellMar>
            <w:top w:w="0" w:type="dxa"/>
            <w:left w:w="108" w:type="dxa"/>
            <w:bottom w:w="0" w:type="dxa"/>
            <w:right w:w="108" w:type="dxa"/>
          </w:tblCellMar>
        </w:tblPrEx>
        <w:trPr>
          <w:trHeight w:val="309" w:hRule="atLeast"/>
        </w:trPr>
        <w:tc>
          <w:tcPr>
            <w:tcW w:w="8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2110301</w:t>
            </w:r>
          </w:p>
        </w:tc>
        <w:tc>
          <w:tcPr>
            <w:tcW w:w="327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xml:space="preserve">  大气</w:t>
            </w:r>
          </w:p>
        </w:tc>
        <w:tc>
          <w:tcPr>
            <w:tcW w:w="179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6,627.33</w:t>
            </w:r>
          </w:p>
        </w:tc>
        <w:tc>
          <w:tcPr>
            <w:tcW w:w="184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8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6,627.33</w:t>
            </w:r>
          </w:p>
        </w:tc>
      </w:tr>
      <w:tr>
        <w:tblPrEx>
          <w:tblCellMar>
            <w:top w:w="0" w:type="dxa"/>
            <w:left w:w="108" w:type="dxa"/>
            <w:bottom w:w="0" w:type="dxa"/>
            <w:right w:w="108" w:type="dxa"/>
          </w:tblCellMar>
        </w:tblPrEx>
        <w:trPr>
          <w:trHeight w:val="309" w:hRule="atLeast"/>
        </w:trPr>
        <w:tc>
          <w:tcPr>
            <w:tcW w:w="8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2110302</w:t>
            </w:r>
          </w:p>
        </w:tc>
        <w:tc>
          <w:tcPr>
            <w:tcW w:w="327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xml:space="preserve">  水体</w:t>
            </w:r>
          </w:p>
        </w:tc>
        <w:tc>
          <w:tcPr>
            <w:tcW w:w="179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142.35</w:t>
            </w:r>
          </w:p>
        </w:tc>
        <w:tc>
          <w:tcPr>
            <w:tcW w:w="184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8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142.35</w:t>
            </w:r>
          </w:p>
        </w:tc>
      </w:tr>
      <w:tr>
        <w:tblPrEx>
          <w:tblCellMar>
            <w:top w:w="0" w:type="dxa"/>
            <w:left w:w="108" w:type="dxa"/>
            <w:bottom w:w="0" w:type="dxa"/>
            <w:right w:w="108" w:type="dxa"/>
          </w:tblCellMar>
        </w:tblPrEx>
        <w:trPr>
          <w:trHeight w:val="309" w:hRule="atLeast"/>
        </w:trPr>
        <w:tc>
          <w:tcPr>
            <w:tcW w:w="8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2110304</w:t>
            </w:r>
          </w:p>
        </w:tc>
        <w:tc>
          <w:tcPr>
            <w:tcW w:w="327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xml:space="preserve">  固体废弃物与化学品</w:t>
            </w:r>
          </w:p>
        </w:tc>
        <w:tc>
          <w:tcPr>
            <w:tcW w:w="179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210.30</w:t>
            </w:r>
          </w:p>
        </w:tc>
        <w:tc>
          <w:tcPr>
            <w:tcW w:w="184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8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210.30</w:t>
            </w:r>
          </w:p>
        </w:tc>
      </w:tr>
      <w:tr>
        <w:tblPrEx>
          <w:tblCellMar>
            <w:top w:w="0" w:type="dxa"/>
            <w:left w:w="108" w:type="dxa"/>
            <w:bottom w:w="0" w:type="dxa"/>
            <w:right w:w="108" w:type="dxa"/>
          </w:tblCellMar>
        </w:tblPrEx>
        <w:trPr>
          <w:trHeight w:val="309" w:hRule="atLeast"/>
        </w:trPr>
        <w:tc>
          <w:tcPr>
            <w:tcW w:w="8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2110399</w:t>
            </w:r>
          </w:p>
        </w:tc>
        <w:tc>
          <w:tcPr>
            <w:tcW w:w="327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xml:space="preserve">  其他污染防治支出</w:t>
            </w:r>
          </w:p>
        </w:tc>
        <w:tc>
          <w:tcPr>
            <w:tcW w:w="179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2,277.66</w:t>
            </w:r>
          </w:p>
        </w:tc>
        <w:tc>
          <w:tcPr>
            <w:tcW w:w="184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8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2,277.66</w:t>
            </w:r>
          </w:p>
        </w:tc>
      </w:tr>
      <w:tr>
        <w:tblPrEx>
          <w:tblCellMar>
            <w:top w:w="0" w:type="dxa"/>
            <w:left w:w="108" w:type="dxa"/>
            <w:bottom w:w="0" w:type="dxa"/>
            <w:right w:w="108" w:type="dxa"/>
          </w:tblCellMar>
        </w:tblPrEx>
        <w:trPr>
          <w:trHeight w:val="309" w:hRule="atLeast"/>
        </w:trPr>
        <w:tc>
          <w:tcPr>
            <w:tcW w:w="8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21104</w:t>
            </w:r>
          </w:p>
        </w:tc>
        <w:tc>
          <w:tcPr>
            <w:tcW w:w="327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自然生态保护</w:t>
            </w:r>
          </w:p>
        </w:tc>
        <w:tc>
          <w:tcPr>
            <w:tcW w:w="179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4.00</w:t>
            </w:r>
          </w:p>
        </w:tc>
        <w:tc>
          <w:tcPr>
            <w:tcW w:w="184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8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4.00</w:t>
            </w:r>
          </w:p>
        </w:tc>
      </w:tr>
      <w:tr>
        <w:tblPrEx>
          <w:tblCellMar>
            <w:top w:w="0" w:type="dxa"/>
            <w:left w:w="108" w:type="dxa"/>
            <w:bottom w:w="0" w:type="dxa"/>
            <w:right w:w="108" w:type="dxa"/>
          </w:tblCellMar>
        </w:tblPrEx>
        <w:trPr>
          <w:trHeight w:val="309" w:hRule="atLeast"/>
        </w:trPr>
        <w:tc>
          <w:tcPr>
            <w:tcW w:w="8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2110402</w:t>
            </w:r>
          </w:p>
        </w:tc>
        <w:tc>
          <w:tcPr>
            <w:tcW w:w="327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xml:space="preserve">  农村环境保护</w:t>
            </w:r>
          </w:p>
        </w:tc>
        <w:tc>
          <w:tcPr>
            <w:tcW w:w="179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4.00</w:t>
            </w:r>
          </w:p>
        </w:tc>
        <w:tc>
          <w:tcPr>
            <w:tcW w:w="184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8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4.00</w:t>
            </w:r>
          </w:p>
        </w:tc>
      </w:tr>
      <w:tr>
        <w:tblPrEx>
          <w:tblCellMar>
            <w:top w:w="0" w:type="dxa"/>
            <w:left w:w="108" w:type="dxa"/>
            <w:bottom w:w="0" w:type="dxa"/>
            <w:right w:w="108" w:type="dxa"/>
          </w:tblCellMar>
        </w:tblPrEx>
        <w:trPr>
          <w:trHeight w:val="309" w:hRule="atLeast"/>
        </w:trPr>
        <w:tc>
          <w:tcPr>
            <w:tcW w:w="8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221</w:t>
            </w:r>
          </w:p>
        </w:tc>
        <w:tc>
          <w:tcPr>
            <w:tcW w:w="327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住房保障支出</w:t>
            </w:r>
          </w:p>
        </w:tc>
        <w:tc>
          <w:tcPr>
            <w:tcW w:w="179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740.06</w:t>
            </w:r>
          </w:p>
        </w:tc>
        <w:tc>
          <w:tcPr>
            <w:tcW w:w="184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740.06</w:t>
            </w:r>
          </w:p>
        </w:tc>
        <w:tc>
          <w:tcPr>
            <w:tcW w:w="178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8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22102</w:t>
            </w:r>
          </w:p>
        </w:tc>
        <w:tc>
          <w:tcPr>
            <w:tcW w:w="327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住房改革支出</w:t>
            </w:r>
          </w:p>
        </w:tc>
        <w:tc>
          <w:tcPr>
            <w:tcW w:w="179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740.06</w:t>
            </w:r>
          </w:p>
        </w:tc>
        <w:tc>
          <w:tcPr>
            <w:tcW w:w="184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740.06</w:t>
            </w:r>
          </w:p>
        </w:tc>
        <w:tc>
          <w:tcPr>
            <w:tcW w:w="178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8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2210201</w:t>
            </w:r>
          </w:p>
        </w:tc>
        <w:tc>
          <w:tcPr>
            <w:tcW w:w="327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xml:space="preserve">  住房公积金</w:t>
            </w:r>
          </w:p>
        </w:tc>
        <w:tc>
          <w:tcPr>
            <w:tcW w:w="179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740.06</w:t>
            </w:r>
          </w:p>
        </w:tc>
        <w:tc>
          <w:tcPr>
            <w:tcW w:w="184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740.06</w:t>
            </w:r>
          </w:p>
        </w:tc>
        <w:tc>
          <w:tcPr>
            <w:tcW w:w="178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9548" w:type="dxa"/>
            <w:gridSpan w:val="7"/>
            <w:tcBorders>
              <w:top w:val="nil"/>
              <w:left w:val="nil"/>
              <w:bottom w:val="nil"/>
              <w:right w:val="nil"/>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注：本表反映部门本年度一般公共预算财政拨款支出情况。</w:t>
            </w:r>
          </w:p>
        </w:tc>
      </w:tr>
      <w:tr>
        <w:tblPrEx>
          <w:tblCellMar>
            <w:top w:w="0" w:type="dxa"/>
            <w:left w:w="108" w:type="dxa"/>
            <w:bottom w:w="0" w:type="dxa"/>
            <w:right w:w="108" w:type="dxa"/>
          </w:tblCellMar>
        </w:tblPrEx>
        <w:trPr>
          <w:trHeight w:val="264" w:hRule="atLeast"/>
        </w:trPr>
        <w:tc>
          <w:tcPr>
            <w:tcW w:w="294" w:type="dxa"/>
            <w:tcBorders>
              <w:top w:val="nil"/>
              <w:left w:val="nil"/>
              <w:bottom w:val="nil"/>
              <w:right w:val="nil"/>
            </w:tcBorders>
            <w:shd w:val="clear" w:color="auto" w:fill="auto"/>
            <w:noWrap/>
            <w:vAlign w:val="bottom"/>
          </w:tcPr>
          <w:p>
            <w:pPr>
              <w:widowControl/>
              <w:spacing w:after="0" w:line="240" w:lineRule="auto"/>
              <w:jc w:val="left"/>
              <w:rPr>
                <w:rFonts w:ascii="宋体" w:hAnsi="宋体" w:cs="Arial"/>
                <w:color w:val="000000"/>
                <w:kern w:val="0"/>
                <w:sz w:val="18"/>
                <w:szCs w:val="18"/>
              </w:rPr>
            </w:pPr>
          </w:p>
        </w:tc>
        <w:tc>
          <w:tcPr>
            <w:tcW w:w="281"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273"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3277"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795"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843"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785"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r>
      <w:tr>
        <w:tblPrEx>
          <w:tblCellMar>
            <w:top w:w="0" w:type="dxa"/>
            <w:left w:w="108" w:type="dxa"/>
            <w:bottom w:w="0" w:type="dxa"/>
            <w:right w:w="108" w:type="dxa"/>
          </w:tblCellMar>
        </w:tblPrEx>
        <w:trPr>
          <w:trHeight w:val="264" w:hRule="atLeast"/>
        </w:trPr>
        <w:tc>
          <w:tcPr>
            <w:tcW w:w="9548" w:type="dxa"/>
            <w:gridSpan w:val="7"/>
            <w:tcBorders>
              <w:top w:val="nil"/>
              <w:left w:val="nil"/>
              <w:bottom w:val="nil"/>
              <w:right w:val="nil"/>
            </w:tcBorders>
            <w:shd w:val="clear" w:color="auto" w:fill="auto"/>
            <w:noWrap/>
            <w:vAlign w:val="center"/>
          </w:tcPr>
          <w:p>
            <w:pPr>
              <w:widowControl/>
              <w:spacing w:after="0" w:line="240" w:lineRule="auto"/>
              <w:jc w:val="center"/>
              <w:rPr>
                <w:rFonts w:eastAsia="Times New Roman"/>
                <w:kern w:val="0"/>
                <w:sz w:val="18"/>
                <w:szCs w:val="18"/>
              </w:rPr>
            </w:pPr>
            <w:r>
              <w:rPr>
                <w:rFonts w:hint="eastAsia" w:ascii="宋体" w:hAnsi="宋体" w:cs="Arial"/>
                <w:color w:val="000000"/>
                <w:kern w:val="0"/>
                <w:sz w:val="18"/>
                <w:szCs w:val="18"/>
              </w:rPr>
              <w:t>— 5 —</w:t>
            </w:r>
          </w:p>
        </w:tc>
      </w:tr>
    </w:tbl>
    <w:p>
      <w:pPr>
        <w:spacing w:after="0" w:line="240" w:lineRule="auto"/>
        <w:rPr>
          <w:rFonts w:ascii="Calibri" w:hAnsi="Calibri"/>
          <w:szCs w:val="22"/>
        </w:rPr>
      </w:pPr>
    </w:p>
    <w:p>
      <w:pPr>
        <w:spacing w:after="0" w:line="240" w:lineRule="auto"/>
        <w:rPr>
          <w:rFonts w:ascii="Calibri" w:hAnsi="Calibri"/>
          <w:szCs w:val="22"/>
        </w:rPr>
      </w:pPr>
    </w:p>
    <w:p>
      <w:pPr>
        <w:spacing w:after="0" w:line="240" w:lineRule="auto"/>
        <w:rPr>
          <w:rFonts w:ascii="Calibri" w:hAnsi="Calibri"/>
          <w:szCs w:val="22"/>
        </w:rPr>
      </w:pPr>
    </w:p>
    <w:p>
      <w:pPr>
        <w:widowControl/>
        <w:spacing w:after="0" w:line="240" w:lineRule="auto"/>
        <w:jc w:val="left"/>
        <w:rPr>
          <w:rFonts w:ascii="Calibri" w:hAnsi="Calibri"/>
          <w:szCs w:val="22"/>
        </w:rPr>
      </w:pPr>
      <w:r>
        <w:rPr>
          <w:rFonts w:ascii="Calibri" w:hAnsi="Calibri"/>
          <w:szCs w:val="22"/>
        </w:rPr>
        <w:br w:type="page"/>
      </w:r>
    </w:p>
    <w:p>
      <w:pPr>
        <w:spacing w:after="0" w:line="240" w:lineRule="auto"/>
        <w:rPr>
          <w:rFonts w:ascii="Calibri" w:hAnsi="Calibri"/>
          <w:szCs w:val="22"/>
        </w:rPr>
        <w:sectPr>
          <w:pgSz w:w="11906" w:h="16838"/>
          <w:pgMar w:top="1588" w:right="2098" w:bottom="1474" w:left="1588" w:header="851" w:footer="992" w:gutter="0"/>
          <w:cols w:space="0" w:num="1"/>
          <w:docGrid w:type="lines" w:linePitch="312" w:charSpace="0"/>
        </w:sectPr>
      </w:pPr>
    </w:p>
    <w:tbl>
      <w:tblPr>
        <w:tblStyle w:val="12"/>
        <w:tblW w:w="13992" w:type="dxa"/>
        <w:tblInd w:w="0" w:type="dxa"/>
        <w:tblLayout w:type="fixed"/>
        <w:tblCellMar>
          <w:top w:w="0" w:type="dxa"/>
          <w:left w:w="108" w:type="dxa"/>
          <w:bottom w:w="0" w:type="dxa"/>
          <w:right w:w="108" w:type="dxa"/>
        </w:tblCellMar>
      </w:tblPr>
      <w:tblGrid>
        <w:gridCol w:w="624"/>
        <w:gridCol w:w="2658"/>
        <w:gridCol w:w="949"/>
        <w:gridCol w:w="624"/>
        <w:gridCol w:w="2983"/>
        <w:gridCol w:w="868"/>
        <w:gridCol w:w="624"/>
        <w:gridCol w:w="3308"/>
        <w:gridCol w:w="1354"/>
      </w:tblGrid>
      <w:tr>
        <w:tblPrEx>
          <w:tblCellMar>
            <w:top w:w="0" w:type="dxa"/>
            <w:left w:w="108" w:type="dxa"/>
            <w:bottom w:w="0" w:type="dxa"/>
            <w:right w:w="108" w:type="dxa"/>
          </w:tblCellMar>
        </w:tblPrEx>
        <w:trPr>
          <w:trHeight w:val="384" w:hRule="atLeast"/>
        </w:trPr>
        <w:tc>
          <w:tcPr>
            <w:tcW w:w="13992" w:type="dxa"/>
            <w:gridSpan w:val="9"/>
            <w:tcBorders>
              <w:top w:val="nil"/>
              <w:left w:val="nil"/>
              <w:bottom w:val="nil"/>
              <w:right w:val="nil"/>
            </w:tcBorders>
            <w:shd w:val="clear" w:color="auto" w:fill="auto"/>
            <w:noWrap/>
            <w:vAlign w:val="center"/>
          </w:tcPr>
          <w:p>
            <w:pPr>
              <w:widowControl/>
              <w:spacing w:after="0" w:line="240" w:lineRule="auto"/>
              <w:jc w:val="center"/>
              <w:rPr>
                <w:rFonts w:eastAsia="Times New Roman"/>
                <w:b/>
                <w:bCs/>
                <w:kern w:val="0"/>
                <w:sz w:val="30"/>
                <w:szCs w:val="30"/>
              </w:rPr>
            </w:pPr>
            <w:r>
              <w:rPr>
                <w:rFonts w:hint="eastAsia" w:ascii="宋体" w:hAnsi="宋体" w:cs="Arial"/>
                <w:b/>
                <w:bCs/>
                <w:color w:val="000000"/>
                <w:kern w:val="0"/>
                <w:sz w:val="30"/>
                <w:szCs w:val="30"/>
              </w:rPr>
              <w:t>一般公共预算财政拨款基本支出决算表</w:t>
            </w:r>
          </w:p>
        </w:tc>
      </w:tr>
      <w:tr>
        <w:tblPrEx>
          <w:tblCellMar>
            <w:top w:w="0" w:type="dxa"/>
            <w:left w:w="108" w:type="dxa"/>
            <w:bottom w:w="0" w:type="dxa"/>
            <w:right w:w="108" w:type="dxa"/>
          </w:tblCellMar>
        </w:tblPrEx>
        <w:trPr>
          <w:trHeight w:val="264" w:hRule="atLeast"/>
        </w:trPr>
        <w:tc>
          <w:tcPr>
            <w:tcW w:w="624"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6"/>
                <w:szCs w:val="16"/>
              </w:rPr>
            </w:pPr>
          </w:p>
        </w:tc>
        <w:tc>
          <w:tcPr>
            <w:tcW w:w="2658"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6"/>
                <w:szCs w:val="16"/>
              </w:rPr>
            </w:pPr>
          </w:p>
        </w:tc>
        <w:tc>
          <w:tcPr>
            <w:tcW w:w="949"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6"/>
                <w:szCs w:val="16"/>
              </w:rPr>
            </w:pPr>
          </w:p>
        </w:tc>
        <w:tc>
          <w:tcPr>
            <w:tcW w:w="624"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6"/>
                <w:szCs w:val="16"/>
              </w:rPr>
            </w:pPr>
          </w:p>
        </w:tc>
        <w:tc>
          <w:tcPr>
            <w:tcW w:w="2983"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6"/>
                <w:szCs w:val="16"/>
              </w:rPr>
            </w:pPr>
          </w:p>
        </w:tc>
        <w:tc>
          <w:tcPr>
            <w:tcW w:w="868"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6"/>
                <w:szCs w:val="16"/>
              </w:rPr>
            </w:pPr>
          </w:p>
        </w:tc>
        <w:tc>
          <w:tcPr>
            <w:tcW w:w="624"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6"/>
                <w:szCs w:val="16"/>
              </w:rPr>
            </w:pPr>
          </w:p>
        </w:tc>
        <w:tc>
          <w:tcPr>
            <w:tcW w:w="3308"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6"/>
                <w:szCs w:val="16"/>
              </w:rPr>
            </w:pPr>
          </w:p>
        </w:tc>
        <w:tc>
          <w:tcPr>
            <w:tcW w:w="1354" w:type="dxa"/>
            <w:tcBorders>
              <w:top w:val="nil"/>
              <w:left w:val="nil"/>
              <w:bottom w:val="nil"/>
              <w:right w:val="nil"/>
            </w:tcBorders>
            <w:shd w:val="clear" w:color="auto" w:fill="auto"/>
            <w:noWrap/>
            <w:vAlign w:val="bottom"/>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公开06表</w:t>
            </w:r>
          </w:p>
        </w:tc>
      </w:tr>
      <w:tr>
        <w:tblPrEx>
          <w:tblCellMar>
            <w:top w:w="0" w:type="dxa"/>
            <w:left w:w="108" w:type="dxa"/>
            <w:bottom w:w="0" w:type="dxa"/>
            <w:right w:w="108" w:type="dxa"/>
          </w:tblCellMar>
        </w:tblPrEx>
        <w:trPr>
          <w:trHeight w:val="264" w:hRule="atLeast"/>
        </w:trPr>
        <w:tc>
          <w:tcPr>
            <w:tcW w:w="3282" w:type="dxa"/>
            <w:gridSpan w:val="2"/>
            <w:tcBorders>
              <w:top w:val="nil"/>
              <w:left w:val="nil"/>
              <w:bottom w:val="nil"/>
              <w:right w:val="nil"/>
            </w:tcBorders>
            <w:shd w:val="clear" w:color="auto" w:fill="auto"/>
            <w:noWrap/>
            <w:vAlign w:val="bottom"/>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部门：唐山市环境保护局系统（汇总）</w:t>
            </w:r>
          </w:p>
        </w:tc>
        <w:tc>
          <w:tcPr>
            <w:tcW w:w="949" w:type="dxa"/>
            <w:tcBorders>
              <w:top w:val="nil"/>
              <w:left w:val="nil"/>
              <w:bottom w:val="nil"/>
              <w:right w:val="nil"/>
            </w:tcBorders>
            <w:shd w:val="clear" w:color="auto" w:fill="auto"/>
            <w:noWrap/>
            <w:vAlign w:val="bottom"/>
          </w:tcPr>
          <w:p>
            <w:pPr>
              <w:widowControl/>
              <w:spacing w:after="0" w:line="240" w:lineRule="auto"/>
              <w:jc w:val="left"/>
              <w:rPr>
                <w:rFonts w:ascii="宋体" w:hAnsi="宋体" w:cs="Arial"/>
                <w:color w:val="000000"/>
                <w:kern w:val="0"/>
                <w:sz w:val="16"/>
                <w:szCs w:val="16"/>
              </w:rPr>
            </w:pPr>
          </w:p>
        </w:tc>
        <w:tc>
          <w:tcPr>
            <w:tcW w:w="624"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6"/>
                <w:szCs w:val="16"/>
              </w:rPr>
            </w:pPr>
          </w:p>
        </w:tc>
        <w:tc>
          <w:tcPr>
            <w:tcW w:w="2983"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6"/>
                <w:szCs w:val="16"/>
              </w:rPr>
            </w:pPr>
          </w:p>
        </w:tc>
        <w:tc>
          <w:tcPr>
            <w:tcW w:w="868"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6"/>
                <w:szCs w:val="16"/>
              </w:rPr>
            </w:pPr>
          </w:p>
        </w:tc>
        <w:tc>
          <w:tcPr>
            <w:tcW w:w="624"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6"/>
                <w:szCs w:val="16"/>
              </w:rPr>
            </w:pPr>
          </w:p>
        </w:tc>
        <w:tc>
          <w:tcPr>
            <w:tcW w:w="3308"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6"/>
                <w:szCs w:val="16"/>
              </w:rPr>
            </w:pPr>
          </w:p>
        </w:tc>
        <w:tc>
          <w:tcPr>
            <w:tcW w:w="1354" w:type="dxa"/>
            <w:tcBorders>
              <w:top w:val="nil"/>
              <w:left w:val="nil"/>
              <w:bottom w:val="nil"/>
              <w:right w:val="nil"/>
            </w:tcBorders>
            <w:shd w:val="clear" w:color="auto" w:fill="auto"/>
            <w:noWrap/>
            <w:vAlign w:val="bottom"/>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金额单位：万元</w:t>
            </w:r>
          </w:p>
        </w:tc>
      </w:tr>
      <w:tr>
        <w:tblPrEx>
          <w:tblCellMar>
            <w:top w:w="0" w:type="dxa"/>
            <w:left w:w="108" w:type="dxa"/>
            <w:bottom w:w="0" w:type="dxa"/>
            <w:right w:w="108" w:type="dxa"/>
          </w:tblCellMar>
        </w:tblPrEx>
        <w:trPr>
          <w:trHeight w:val="309" w:hRule="atLeast"/>
        </w:trPr>
        <w:tc>
          <w:tcPr>
            <w:tcW w:w="4231"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人员经费</w:t>
            </w:r>
          </w:p>
        </w:tc>
        <w:tc>
          <w:tcPr>
            <w:tcW w:w="9761" w:type="dxa"/>
            <w:gridSpan w:val="6"/>
            <w:tcBorders>
              <w:top w:val="single" w:color="000000" w:sz="4" w:space="0"/>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公用经费</w:t>
            </w:r>
          </w:p>
        </w:tc>
      </w:tr>
      <w:tr>
        <w:tblPrEx>
          <w:tblCellMar>
            <w:top w:w="0" w:type="dxa"/>
            <w:left w:w="108" w:type="dxa"/>
            <w:bottom w:w="0" w:type="dxa"/>
            <w:right w:w="108" w:type="dxa"/>
          </w:tblCellMar>
        </w:tblPrEx>
        <w:trPr>
          <w:trHeight w:val="312" w:hRule="atLeast"/>
        </w:trPr>
        <w:tc>
          <w:tcPr>
            <w:tcW w:w="624"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科目编码</w:t>
            </w:r>
          </w:p>
        </w:tc>
        <w:tc>
          <w:tcPr>
            <w:tcW w:w="2658" w:type="dxa"/>
            <w:vMerge w:val="restart"/>
            <w:tcBorders>
              <w:top w:val="nil"/>
              <w:left w:val="nil"/>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科目名称</w:t>
            </w:r>
          </w:p>
        </w:tc>
        <w:tc>
          <w:tcPr>
            <w:tcW w:w="949" w:type="dxa"/>
            <w:vMerge w:val="restart"/>
            <w:tcBorders>
              <w:top w:val="nil"/>
              <w:left w:val="nil"/>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决算数</w:t>
            </w:r>
          </w:p>
        </w:tc>
        <w:tc>
          <w:tcPr>
            <w:tcW w:w="624" w:type="dxa"/>
            <w:vMerge w:val="restart"/>
            <w:tcBorders>
              <w:top w:val="nil"/>
              <w:left w:val="nil"/>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科目编码</w:t>
            </w:r>
          </w:p>
        </w:tc>
        <w:tc>
          <w:tcPr>
            <w:tcW w:w="2983" w:type="dxa"/>
            <w:vMerge w:val="restart"/>
            <w:tcBorders>
              <w:top w:val="nil"/>
              <w:left w:val="nil"/>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科目名称</w:t>
            </w:r>
          </w:p>
        </w:tc>
        <w:tc>
          <w:tcPr>
            <w:tcW w:w="868" w:type="dxa"/>
            <w:vMerge w:val="restart"/>
            <w:tcBorders>
              <w:top w:val="nil"/>
              <w:left w:val="nil"/>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决算数</w:t>
            </w:r>
          </w:p>
        </w:tc>
        <w:tc>
          <w:tcPr>
            <w:tcW w:w="624" w:type="dxa"/>
            <w:vMerge w:val="restart"/>
            <w:tcBorders>
              <w:top w:val="nil"/>
              <w:left w:val="nil"/>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科目编码</w:t>
            </w:r>
          </w:p>
        </w:tc>
        <w:tc>
          <w:tcPr>
            <w:tcW w:w="3308" w:type="dxa"/>
            <w:vMerge w:val="restart"/>
            <w:tcBorders>
              <w:top w:val="nil"/>
              <w:left w:val="nil"/>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科目名称</w:t>
            </w:r>
          </w:p>
        </w:tc>
        <w:tc>
          <w:tcPr>
            <w:tcW w:w="1354" w:type="dxa"/>
            <w:vMerge w:val="restart"/>
            <w:tcBorders>
              <w:top w:val="nil"/>
              <w:left w:val="nil"/>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决算数</w:t>
            </w:r>
          </w:p>
        </w:tc>
      </w:tr>
      <w:tr>
        <w:tblPrEx>
          <w:tblCellMar>
            <w:top w:w="0" w:type="dxa"/>
            <w:left w:w="108" w:type="dxa"/>
            <w:bottom w:w="0" w:type="dxa"/>
            <w:right w:w="108" w:type="dxa"/>
          </w:tblCellMar>
        </w:tblPrEx>
        <w:trPr>
          <w:trHeight w:val="312" w:hRule="atLeast"/>
        </w:trPr>
        <w:tc>
          <w:tcPr>
            <w:tcW w:w="624"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6"/>
                <w:szCs w:val="16"/>
              </w:rPr>
            </w:pPr>
          </w:p>
        </w:tc>
        <w:tc>
          <w:tcPr>
            <w:tcW w:w="2658"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6"/>
                <w:szCs w:val="16"/>
              </w:rPr>
            </w:pPr>
          </w:p>
        </w:tc>
        <w:tc>
          <w:tcPr>
            <w:tcW w:w="949"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6"/>
                <w:szCs w:val="16"/>
              </w:rPr>
            </w:pPr>
          </w:p>
        </w:tc>
        <w:tc>
          <w:tcPr>
            <w:tcW w:w="624"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6"/>
                <w:szCs w:val="16"/>
              </w:rPr>
            </w:pPr>
          </w:p>
        </w:tc>
        <w:tc>
          <w:tcPr>
            <w:tcW w:w="2983"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6"/>
                <w:szCs w:val="16"/>
              </w:rPr>
            </w:pPr>
          </w:p>
        </w:tc>
        <w:tc>
          <w:tcPr>
            <w:tcW w:w="868"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6"/>
                <w:szCs w:val="16"/>
              </w:rPr>
            </w:pPr>
          </w:p>
        </w:tc>
        <w:tc>
          <w:tcPr>
            <w:tcW w:w="624"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6"/>
                <w:szCs w:val="16"/>
              </w:rPr>
            </w:pPr>
          </w:p>
        </w:tc>
        <w:tc>
          <w:tcPr>
            <w:tcW w:w="3308"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6"/>
                <w:szCs w:val="16"/>
              </w:rPr>
            </w:pPr>
          </w:p>
        </w:tc>
        <w:tc>
          <w:tcPr>
            <w:tcW w:w="1354"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6"/>
                <w:szCs w:val="16"/>
              </w:rPr>
            </w:pPr>
          </w:p>
        </w:tc>
      </w:tr>
      <w:tr>
        <w:tblPrEx>
          <w:tblCellMar>
            <w:top w:w="0" w:type="dxa"/>
            <w:left w:w="108" w:type="dxa"/>
            <w:bottom w:w="0" w:type="dxa"/>
            <w:right w:w="108" w:type="dxa"/>
          </w:tblCellMar>
        </w:tblPrEx>
        <w:trPr>
          <w:trHeight w:val="309" w:hRule="atLeast"/>
        </w:trPr>
        <w:tc>
          <w:tcPr>
            <w:tcW w:w="624"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301</w:t>
            </w:r>
          </w:p>
        </w:tc>
        <w:tc>
          <w:tcPr>
            <w:tcW w:w="2658"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工资福利支出</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12,675.02</w:t>
            </w:r>
          </w:p>
        </w:tc>
        <w:tc>
          <w:tcPr>
            <w:tcW w:w="624"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302</w:t>
            </w:r>
          </w:p>
        </w:tc>
        <w:tc>
          <w:tcPr>
            <w:tcW w:w="2983"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商品和服务支出</w:t>
            </w:r>
          </w:p>
        </w:tc>
        <w:tc>
          <w:tcPr>
            <w:tcW w:w="868"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2,442.64</w:t>
            </w:r>
          </w:p>
        </w:tc>
        <w:tc>
          <w:tcPr>
            <w:tcW w:w="624"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307</w:t>
            </w:r>
          </w:p>
        </w:tc>
        <w:tc>
          <w:tcPr>
            <w:tcW w:w="3308"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债务利息及费用支出</w:t>
            </w:r>
          </w:p>
        </w:tc>
        <w:tc>
          <w:tcPr>
            <w:tcW w:w="135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9" w:hRule="atLeast"/>
        </w:trPr>
        <w:tc>
          <w:tcPr>
            <w:tcW w:w="624"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30101</w:t>
            </w:r>
          </w:p>
        </w:tc>
        <w:tc>
          <w:tcPr>
            <w:tcW w:w="2658"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基本工资</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4,868.40</w:t>
            </w:r>
          </w:p>
        </w:tc>
        <w:tc>
          <w:tcPr>
            <w:tcW w:w="624"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30201</w:t>
            </w:r>
          </w:p>
        </w:tc>
        <w:tc>
          <w:tcPr>
            <w:tcW w:w="2983"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办公费</w:t>
            </w:r>
          </w:p>
        </w:tc>
        <w:tc>
          <w:tcPr>
            <w:tcW w:w="868"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199.52</w:t>
            </w:r>
          </w:p>
        </w:tc>
        <w:tc>
          <w:tcPr>
            <w:tcW w:w="624"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30701</w:t>
            </w:r>
          </w:p>
        </w:tc>
        <w:tc>
          <w:tcPr>
            <w:tcW w:w="3308"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国内债务付息</w:t>
            </w:r>
          </w:p>
        </w:tc>
        <w:tc>
          <w:tcPr>
            <w:tcW w:w="135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9" w:hRule="atLeast"/>
        </w:trPr>
        <w:tc>
          <w:tcPr>
            <w:tcW w:w="624"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30102</w:t>
            </w:r>
          </w:p>
        </w:tc>
        <w:tc>
          <w:tcPr>
            <w:tcW w:w="2658"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津贴补贴</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973.84</w:t>
            </w:r>
          </w:p>
        </w:tc>
        <w:tc>
          <w:tcPr>
            <w:tcW w:w="624"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30202</w:t>
            </w:r>
          </w:p>
        </w:tc>
        <w:tc>
          <w:tcPr>
            <w:tcW w:w="2983"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印刷费</w:t>
            </w:r>
          </w:p>
        </w:tc>
        <w:tc>
          <w:tcPr>
            <w:tcW w:w="868"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40.60</w:t>
            </w:r>
          </w:p>
        </w:tc>
        <w:tc>
          <w:tcPr>
            <w:tcW w:w="624"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30702</w:t>
            </w:r>
          </w:p>
        </w:tc>
        <w:tc>
          <w:tcPr>
            <w:tcW w:w="3308"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国外债务付息</w:t>
            </w:r>
          </w:p>
        </w:tc>
        <w:tc>
          <w:tcPr>
            <w:tcW w:w="135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9" w:hRule="atLeast"/>
        </w:trPr>
        <w:tc>
          <w:tcPr>
            <w:tcW w:w="624"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30103</w:t>
            </w:r>
          </w:p>
        </w:tc>
        <w:tc>
          <w:tcPr>
            <w:tcW w:w="2658"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奖金</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775.79</w:t>
            </w:r>
          </w:p>
        </w:tc>
        <w:tc>
          <w:tcPr>
            <w:tcW w:w="624"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30203</w:t>
            </w:r>
          </w:p>
        </w:tc>
        <w:tc>
          <w:tcPr>
            <w:tcW w:w="2983"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咨询费</w:t>
            </w:r>
          </w:p>
        </w:tc>
        <w:tc>
          <w:tcPr>
            <w:tcW w:w="868"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18.96</w:t>
            </w:r>
          </w:p>
        </w:tc>
        <w:tc>
          <w:tcPr>
            <w:tcW w:w="624"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310</w:t>
            </w:r>
          </w:p>
        </w:tc>
        <w:tc>
          <w:tcPr>
            <w:tcW w:w="3308"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资本性支出</w:t>
            </w:r>
          </w:p>
        </w:tc>
        <w:tc>
          <w:tcPr>
            <w:tcW w:w="135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189.41</w:t>
            </w:r>
          </w:p>
        </w:tc>
      </w:tr>
      <w:tr>
        <w:tblPrEx>
          <w:tblCellMar>
            <w:top w:w="0" w:type="dxa"/>
            <w:left w:w="108" w:type="dxa"/>
            <w:bottom w:w="0" w:type="dxa"/>
            <w:right w:w="108" w:type="dxa"/>
          </w:tblCellMar>
        </w:tblPrEx>
        <w:trPr>
          <w:trHeight w:val="309" w:hRule="atLeast"/>
        </w:trPr>
        <w:tc>
          <w:tcPr>
            <w:tcW w:w="624"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30106</w:t>
            </w:r>
          </w:p>
        </w:tc>
        <w:tc>
          <w:tcPr>
            <w:tcW w:w="2658"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伙食补助费</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624"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30204</w:t>
            </w:r>
          </w:p>
        </w:tc>
        <w:tc>
          <w:tcPr>
            <w:tcW w:w="2983"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手续费</w:t>
            </w:r>
          </w:p>
        </w:tc>
        <w:tc>
          <w:tcPr>
            <w:tcW w:w="868"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624"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31001</w:t>
            </w:r>
          </w:p>
        </w:tc>
        <w:tc>
          <w:tcPr>
            <w:tcW w:w="3308"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房屋建筑物购建</w:t>
            </w:r>
          </w:p>
        </w:tc>
        <w:tc>
          <w:tcPr>
            <w:tcW w:w="135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9" w:hRule="atLeast"/>
        </w:trPr>
        <w:tc>
          <w:tcPr>
            <w:tcW w:w="624"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30107</w:t>
            </w:r>
          </w:p>
        </w:tc>
        <w:tc>
          <w:tcPr>
            <w:tcW w:w="2658"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绩效工资</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2,219.31</w:t>
            </w:r>
          </w:p>
        </w:tc>
        <w:tc>
          <w:tcPr>
            <w:tcW w:w="624"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30205</w:t>
            </w:r>
          </w:p>
        </w:tc>
        <w:tc>
          <w:tcPr>
            <w:tcW w:w="2983"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水费</w:t>
            </w:r>
          </w:p>
        </w:tc>
        <w:tc>
          <w:tcPr>
            <w:tcW w:w="868"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18.13</w:t>
            </w:r>
          </w:p>
        </w:tc>
        <w:tc>
          <w:tcPr>
            <w:tcW w:w="624"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31002</w:t>
            </w:r>
          </w:p>
        </w:tc>
        <w:tc>
          <w:tcPr>
            <w:tcW w:w="3308"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办公设备购置</w:t>
            </w:r>
          </w:p>
        </w:tc>
        <w:tc>
          <w:tcPr>
            <w:tcW w:w="135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136.38</w:t>
            </w:r>
          </w:p>
        </w:tc>
      </w:tr>
      <w:tr>
        <w:tblPrEx>
          <w:tblCellMar>
            <w:top w:w="0" w:type="dxa"/>
            <w:left w:w="108" w:type="dxa"/>
            <w:bottom w:w="0" w:type="dxa"/>
            <w:right w:w="108" w:type="dxa"/>
          </w:tblCellMar>
        </w:tblPrEx>
        <w:trPr>
          <w:trHeight w:val="309" w:hRule="atLeast"/>
        </w:trPr>
        <w:tc>
          <w:tcPr>
            <w:tcW w:w="624"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30108</w:t>
            </w:r>
          </w:p>
        </w:tc>
        <w:tc>
          <w:tcPr>
            <w:tcW w:w="2658"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机关事业单位基本养老保险缴费</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1,372.50</w:t>
            </w:r>
          </w:p>
        </w:tc>
        <w:tc>
          <w:tcPr>
            <w:tcW w:w="624"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30206</w:t>
            </w:r>
          </w:p>
        </w:tc>
        <w:tc>
          <w:tcPr>
            <w:tcW w:w="2983"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电费</w:t>
            </w:r>
          </w:p>
        </w:tc>
        <w:tc>
          <w:tcPr>
            <w:tcW w:w="868"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168.86</w:t>
            </w:r>
          </w:p>
        </w:tc>
        <w:tc>
          <w:tcPr>
            <w:tcW w:w="624"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31003</w:t>
            </w:r>
          </w:p>
        </w:tc>
        <w:tc>
          <w:tcPr>
            <w:tcW w:w="3308"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专用设备购置</w:t>
            </w:r>
          </w:p>
        </w:tc>
        <w:tc>
          <w:tcPr>
            <w:tcW w:w="135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45.53</w:t>
            </w:r>
          </w:p>
        </w:tc>
      </w:tr>
      <w:tr>
        <w:tblPrEx>
          <w:tblCellMar>
            <w:top w:w="0" w:type="dxa"/>
            <w:left w:w="108" w:type="dxa"/>
            <w:bottom w:w="0" w:type="dxa"/>
            <w:right w:w="108" w:type="dxa"/>
          </w:tblCellMar>
        </w:tblPrEx>
        <w:trPr>
          <w:trHeight w:val="309" w:hRule="atLeast"/>
        </w:trPr>
        <w:tc>
          <w:tcPr>
            <w:tcW w:w="624"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30109</w:t>
            </w:r>
          </w:p>
        </w:tc>
        <w:tc>
          <w:tcPr>
            <w:tcW w:w="2658"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职业年金缴费</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172.21</w:t>
            </w:r>
          </w:p>
        </w:tc>
        <w:tc>
          <w:tcPr>
            <w:tcW w:w="624"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30207</w:t>
            </w:r>
          </w:p>
        </w:tc>
        <w:tc>
          <w:tcPr>
            <w:tcW w:w="2983"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邮电费</w:t>
            </w:r>
          </w:p>
        </w:tc>
        <w:tc>
          <w:tcPr>
            <w:tcW w:w="868"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160.32</w:t>
            </w:r>
          </w:p>
        </w:tc>
        <w:tc>
          <w:tcPr>
            <w:tcW w:w="624"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31005</w:t>
            </w:r>
          </w:p>
        </w:tc>
        <w:tc>
          <w:tcPr>
            <w:tcW w:w="3308"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基础设施建设</w:t>
            </w:r>
          </w:p>
        </w:tc>
        <w:tc>
          <w:tcPr>
            <w:tcW w:w="135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9" w:hRule="atLeast"/>
        </w:trPr>
        <w:tc>
          <w:tcPr>
            <w:tcW w:w="624"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30110</w:t>
            </w:r>
          </w:p>
        </w:tc>
        <w:tc>
          <w:tcPr>
            <w:tcW w:w="2658"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职工基本医疗保险缴费</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683.16</w:t>
            </w:r>
          </w:p>
        </w:tc>
        <w:tc>
          <w:tcPr>
            <w:tcW w:w="624"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30208</w:t>
            </w:r>
          </w:p>
        </w:tc>
        <w:tc>
          <w:tcPr>
            <w:tcW w:w="2983"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取暖费</w:t>
            </w:r>
          </w:p>
        </w:tc>
        <w:tc>
          <w:tcPr>
            <w:tcW w:w="868"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86.05</w:t>
            </w:r>
          </w:p>
        </w:tc>
        <w:tc>
          <w:tcPr>
            <w:tcW w:w="624"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31006</w:t>
            </w:r>
          </w:p>
        </w:tc>
        <w:tc>
          <w:tcPr>
            <w:tcW w:w="3308"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大型修缮</w:t>
            </w:r>
          </w:p>
        </w:tc>
        <w:tc>
          <w:tcPr>
            <w:tcW w:w="135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9" w:hRule="atLeast"/>
        </w:trPr>
        <w:tc>
          <w:tcPr>
            <w:tcW w:w="624"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30111</w:t>
            </w:r>
          </w:p>
        </w:tc>
        <w:tc>
          <w:tcPr>
            <w:tcW w:w="2658"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公务员医疗补助缴费</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347.50</w:t>
            </w:r>
          </w:p>
        </w:tc>
        <w:tc>
          <w:tcPr>
            <w:tcW w:w="624"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30209</w:t>
            </w:r>
          </w:p>
        </w:tc>
        <w:tc>
          <w:tcPr>
            <w:tcW w:w="2983"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物业管理费</w:t>
            </w:r>
          </w:p>
        </w:tc>
        <w:tc>
          <w:tcPr>
            <w:tcW w:w="868"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74.92</w:t>
            </w:r>
          </w:p>
        </w:tc>
        <w:tc>
          <w:tcPr>
            <w:tcW w:w="624"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31007</w:t>
            </w:r>
          </w:p>
        </w:tc>
        <w:tc>
          <w:tcPr>
            <w:tcW w:w="3308"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信息网络及软件购置更新</w:t>
            </w:r>
          </w:p>
        </w:tc>
        <w:tc>
          <w:tcPr>
            <w:tcW w:w="135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7.50</w:t>
            </w:r>
          </w:p>
        </w:tc>
      </w:tr>
      <w:tr>
        <w:tblPrEx>
          <w:tblCellMar>
            <w:top w:w="0" w:type="dxa"/>
            <w:left w:w="108" w:type="dxa"/>
            <w:bottom w:w="0" w:type="dxa"/>
            <w:right w:w="108" w:type="dxa"/>
          </w:tblCellMar>
        </w:tblPrEx>
        <w:trPr>
          <w:trHeight w:val="309" w:hRule="atLeast"/>
        </w:trPr>
        <w:tc>
          <w:tcPr>
            <w:tcW w:w="624"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30112</w:t>
            </w:r>
          </w:p>
        </w:tc>
        <w:tc>
          <w:tcPr>
            <w:tcW w:w="2658"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其他社会保障缴费</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346.46</w:t>
            </w:r>
          </w:p>
        </w:tc>
        <w:tc>
          <w:tcPr>
            <w:tcW w:w="624"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30211</w:t>
            </w:r>
          </w:p>
        </w:tc>
        <w:tc>
          <w:tcPr>
            <w:tcW w:w="2983"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差旅费</w:t>
            </w:r>
          </w:p>
        </w:tc>
        <w:tc>
          <w:tcPr>
            <w:tcW w:w="868"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208.96</w:t>
            </w:r>
          </w:p>
        </w:tc>
        <w:tc>
          <w:tcPr>
            <w:tcW w:w="624"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31008</w:t>
            </w:r>
          </w:p>
        </w:tc>
        <w:tc>
          <w:tcPr>
            <w:tcW w:w="3308"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物资储备</w:t>
            </w:r>
          </w:p>
        </w:tc>
        <w:tc>
          <w:tcPr>
            <w:tcW w:w="135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9" w:hRule="atLeast"/>
        </w:trPr>
        <w:tc>
          <w:tcPr>
            <w:tcW w:w="624"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30113</w:t>
            </w:r>
          </w:p>
        </w:tc>
        <w:tc>
          <w:tcPr>
            <w:tcW w:w="2658"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住房公积金</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780.59</w:t>
            </w:r>
          </w:p>
        </w:tc>
        <w:tc>
          <w:tcPr>
            <w:tcW w:w="624"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30212</w:t>
            </w:r>
          </w:p>
        </w:tc>
        <w:tc>
          <w:tcPr>
            <w:tcW w:w="2983"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因公出国（境）费用</w:t>
            </w:r>
          </w:p>
        </w:tc>
        <w:tc>
          <w:tcPr>
            <w:tcW w:w="868"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624"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31009</w:t>
            </w:r>
          </w:p>
        </w:tc>
        <w:tc>
          <w:tcPr>
            <w:tcW w:w="3308"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土地补偿</w:t>
            </w:r>
          </w:p>
        </w:tc>
        <w:tc>
          <w:tcPr>
            <w:tcW w:w="135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9" w:hRule="atLeast"/>
        </w:trPr>
        <w:tc>
          <w:tcPr>
            <w:tcW w:w="624"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30114</w:t>
            </w:r>
          </w:p>
        </w:tc>
        <w:tc>
          <w:tcPr>
            <w:tcW w:w="2658"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医疗费</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18.96</w:t>
            </w:r>
          </w:p>
        </w:tc>
        <w:tc>
          <w:tcPr>
            <w:tcW w:w="624"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30213</w:t>
            </w:r>
          </w:p>
        </w:tc>
        <w:tc>
          <w:tcPr>
            <w:tcW w:w="2983"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维修（护）费</w:t>
            </w:r>
          </w:p>
        </w:tc>
        <w:tc>
          <w:tcPr>
            <w:tcW w:w="868"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228.48</w:t>
            </w:r>
          </w:p>
        </w:tc>
        <w:tc>
          <w:tcPr>
            <w:tcW w:w="624"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31010</w:t>
            </w:r>
          </w:p>
        </w:tc>
        <w:tc>
          <w:tcPr>
            <w:tcW w:w="3308"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安置补助</w:t>
            </w:r>
          </w:p>
        </w:tc>
        <w:tc>
          <w:tcPr>
            <w:tcW w:w="135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9" w:hRule="atLeast"/>
        </w:trPr>
        <w:tc>
          <w:tcPr>
            <w:tcW w:w="624"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30199</w:t>
            </w:r>
          </w:p>
        </w:tc>
        <w:tc>
          <w:tcPr>
            <w:tcW w:w="2658"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其他工资福利支出</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116.29</w:t>
            </w:r>
          </w:p>
        </w:tc>
        <w:tc>
          <w:tcPr>
            <w:tcW w:w="624"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30214</w:t>
            </w:r>
          </w:p>
        </w:tc>
        <w:tc>
          <w:tcPr>
            <w:tcW w:w="2983"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租赁费</w:t>
            </w:r>
          </w:p>
        </w:tc>
        <w:tc>
          <w:tcPr>
            <w:tcW w:w="868"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57.59</w:t>
            </w:r>
          </w:p>
        </w:tc>
        <w:tc>
          <w:tcPr>
            <w:tcW w:w="624"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31011</w:t>
            </w:r>
          </w:p>
        </w:tc>
        <w:tc>
          <w:tcPr>
            <w:tcW w:w="3308"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地上附着物和青苗补偿</w:t>
            </w:r>
          </w:p>
        </w:tc>
        <w:tc>
          <w:tcPr>
            <w:tcW w:w="135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9" w:hRule="atLeast"/>
        </w:trPr>
        <w:tc>
          <w:tcPr>
            <w:tcW w:w="624"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303</w:t>
            </w:r>
          </w:p>
        </w:tc>
        <w:tc>
          <w:tcPr>
            <w:tcW w:w="2658"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对个人和家庭的补助</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rPr>
              <w:t>745.6</w:t>
            </w:r>
            <w:r>
              <w:rPr>
                <w:rFonts w:hint="eastAsia" w:ascii="宋体" w:hAnsi="宋体" w:cs="Arial"/>
                <w:color w:val="000000"/>
                <w:kern w:val="0"/>
                <w:sz w:val="16"/>
                <w:szCs w:val="16"/>
                <w:lang w:val="en-US" w:eastAsia="zh-CN"/>
              </w:rPr>
              <w:t>8</w:t>
            </w:r>
          </w:p>
        </w:tc>
        <w:tc>
          <w:tcPr>
            <w:tcW w:w="624"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30215</w:t>
            </w:r>
          </w:p>
        </w:tc>
        <w:tc>
          <w:tcPr>
            <w:tcW w:w="2983"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会议费</w:t>
            </w:r>
          </w:p>
        </w:tc>
        <w:tc>
          <w:tcPr>
            <w:tcW w:w="868"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33.25</w:t>
            </w:r>
          </w:p>
        </w:tc>
        <w:tc>
          <w:tcPr>
            <w:tcW w:w="624"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31012</w:t>
            </w:r>
          </w:p>
        </w:tc>
        <w:tc>
          <w:tcPr>
            <w:tcW w:w="3308"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拆迁补偿</w:t>
            </w:r>
          </w:p>
        </w:tc>
        <w:tc>
          <w:tcPr>
            <w:tcW w:w="135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9" w:hRule="atLeast"/>
        </w:trPr>
        <w:tc>
          <w:tcPr>
            <w:tcW w:w="624"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30301</w:t>
            </w:r>
          </w:p>
        </w:tc>
        <w:tc>
          <w:tcPr>
            <w:tcW w:w="2658"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离休费</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11.89</w:t>
            </w:r>
          </w:p>
        </w:tc>
        <w:tc>
          <w:tcPr>
            <w:tcW w:w="624"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30216</w:t>
            </w:r>
          </w:p>
        </w:tc>
        <w:tc>
          <w:tcPr>
            <w:tcW w:w="2983"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培训费</w:t>
            </w:r>
          </w:p>
        </w:tc>
        <w:tc>
          <w:tcPr>
            <w:tcW w:w="868"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80.12</w:t>
            </w:r>
          </w:p>
        </w:tc>
        <w:tc>
          <w:tcPr>
            <w:tcW w:w="624"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31013</w:t>
            </w:r>
          </w:p>
        </w:tc>
        <w:tc>
          <w:tcPr>
            <w:tcW w:w="3308"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公务用车购置</w:t>
            </w:r>
          </w:p>
        </w:tc>
        <w:tc>
          <w:tcPr>
            <w:tcW w:w="135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9" w:hRule="atLeast"/>
        </w:trPr>
        <w:tc>
          <w:tcPr>
            <w:tcW w:w="624"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30302</w:t>
            </w:r>
          </w:p>
        </w:tc>
        <w:tc>
          <w:tcPr>
            <w:tcW w:w="2658"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退休费</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168.16</w:t>
            </w:r>
          </w:p>
        </w:tc>
        <w:tc>
          <w:tcPr>
            <w:tcW w:w="624"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30217</w:t>
            </w:r>
          </w:p>
        </w:tc>
        <w:tc>
          <w:tcPr>
            <w:tcW w:w="2983"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公务接待费</w:t>
            </w:r>
          </w:p>
        </w:tc>
        <w:tc>
          <w:tcPr>
            <w:tcW w:w="868"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4.87</w:t>
            </w:r>
          </w:p>
        </w:tc>
        <w:tc>
          <w:tcPr>
            <w:tcW w:w="624"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31019</w:t>
            </w:r>
          </w:p>
        </w:tc>
        <w:tc>
          <w:tcPr>
            <w:tcW w:w="3308"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其他交通工具购置</w:t>
            </w:r>
          </w:p>
        </w:tc>
        <w:tc>
          <w:tcPr>
            <w:tcW w:w="135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9" w:hRule="atLeast"/>
        </w:trPr>
        <w:tc>
          <w:tcPr>
            <w:tcW w:w="624"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30303</w:t>
            </w:r>
          </w:p>
        </w:tc>
        <w:tc>
          <w:tcPr>
            <w:tcW w:w="2658"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退职（役）费</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624"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30218</w:t>
            </w:r>
          </w:p>
        </w:tc>
        <w:tc>
          <w:tcPr>
            <w:tcW w:w="2983"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专用材料费</w:t>
            </w:r>
          </w:p>
        </w:tc>
        <w:tc>
          <w:tcPr>
            <w:tcW w:w="868"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58.67</w:t>
            </w:r>
          </w:p>
        </w:tc>
        <w:tc>
          <w:tcPr>
            <w:tcW w:w="624"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31021</w:t>
            </w:r>
          </w:p>
        </w:tc>
        <w:tc>
          <w:tcPr>
            <w:tcW w:w="3308"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文物和陈列品购置</w:t>
            </w:r>
          </w:p>
        </w:tc>
        <w:tc>
          <w:tcPr>
            <w:tcW w:w="135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9" w:hRule="atLeast"/>
        </w:trPr>
        <w:tc>
          <w:tcPr>
            <w:tcW w:w="624"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30304</w:t>
            </w:r>
          </w:p>
        </w:tc>
        <w:tc>
          <w:tcPr>
            <w:tcW w:w="2658"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抚恤金</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3.34</w:t>
            </w:r>
          </w:p>
        </w:tc>
        <w:tc>
          <w:tcPr>
            <w:tcW w:w="624"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30224</w:t>
            </w:r>
          </w:p>
        </w:tc>
        <w:tc>
          <w:tcPr>
            <w:tcW w:w="2983"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被装购置费</w:t>
            </w:r>
          </w:p>
        </w:tc>
        <w:tc>
          <w:tcPr>
            <w:tcW w:w="868"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624"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31022</w:t>
            </w:r>
          </w:p>
        </w:tc>
        <w:tc>
          <w:tcPr>
            <w:tcW w:w="3308"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无形资产购置</w:t>
            </w:r>
          </w:p>
        </w:tc>
        <w:tc>
          <w:tcPr>
            <w:tcW w:w="135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9" w:hRule="atLeast"/>
        </w:trPr>
        <w:tc>
          <w:tcPr>
            <w:tcW w:w="624"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30305</w:t>
            </w:r>
          </w:p>
        </w:tc>
        <w:tc>
          <w:tcPr>
            <w:tcW w:w="2658"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生活补助</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2.68</w:t>
            </w:r>
          </w:p>
        </w:tc>
        <w:tc>
          <w:tcPr>
            <w:tcW w:w="624"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30225</w:t>
            </w:r>
          </w:p>
        </w:tc>
        <w:tc>
          <w:tcPr>
            <w:tcW w:w="2983"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专用燃料费</w:t>
            </w:r>
          </w:p>
        </w:tc>
        <w:tc>
          <w:tcPr>
            <w:tcW w:w="868"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624"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31099</w:t>
            </w:r>
          </w:p>
        </w:tc>
        <w:tc>
          <w:tcPr>
            <w:tcW w:w="3308"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其他资本性支出</w:t>
            </w:r>
          </w:p>
        </w:tc>
        <w:tc>
          <w:tcPr>
            <w:tcW w:w="135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9" w:hRule="atLeast"/>
        </w:trPr>
        <w:tc>
          <w:tcPr>
            <w:tcW w:w="624"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30306</w:t>
            </w:r>
          </w:p>
        </w:tc>
        <w:tc>
          <w:tcPr>
            <w:tcW w:w="2658"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救济费</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624"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30226</w:t>
            </w:r>
          </w:p>
        </w:tc>
        <w:tc>
          <w:tcPr>
            <w:tcW w:w="2983"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劳务费</w:t>
            </w:r>
          </w:p>
        </w:tc>
        <w:tc>
          <w:tcPr>
            <w:tcW w:w="868"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124.39</w:t>
            </w:r>
          </w:p>
        </w:tc>
        <w:tc>
          <w:tcPr>
            <w:tcW w:w="624"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399</w:t>
            </w:r>
          </w:p>
        </w:tc>
        <w:tc>
          <w:tcPr>
            <w:tcW w:w="3308"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其他支出</w:t>
            </w:r>
          </w:p>
        </w:tc>
        <w:tc>
          <w:tcPr>
            <w:tcW w:w="135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9" w:hRule="atLeast"/>
        </w:trPr>
        <w:tc>
          <w:tcPr>
            <w:tcW w:w="624"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30307</w:t>
            </w:r>
          </w:p>
        </w:tc>
        <w:tc>
          <w:tcPr>
            <w:tcW w:w="2658"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医疗费补助</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624"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30227</w:t>
            </w:r>
          </w:p>
        </w:tc>
        <w:tc>
          <w:tcPr>
            <w:tcW w:w="2983"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委托业务费</w:t>
            </w:r>
          </w:p>
        </w:tc>
        <w:tc>
          <w:tcPr>
            <w:tcW w:w="868"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134.83</w:t>
            </w:r>
          </w:p>
        </w:tc>
        <w:tc>
          <w:tcPr>
            <w:tcW w:w="624"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39906</w:t>
            </w:r>
          </w:p>
        </w:tc>
        <w:tc>
          <w:tcPr>
            <w:tcW w:w="3308"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赠与</w:t>
            </w:r>
          </w:p>
        </w:tc>
        <w:tc>
          <w:tcPr>
            <w:tcW w:w="135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9" w:hRule="atLeast"/>
        </w:trPr>
        <w:tc>
          <w:tcPr>
            <w:tcW w:w="624"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30308</w:t>
            </w:r>
          </w:p>
        </w:tc>
        <w:tc>
          <w:tcPr>
            <w:tcW w:w="2658"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助学金</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624"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30228</w:t>
            </w:r>
          </w:p>
        </w:tc>
        <w:tc>
          <w:tcPr>
            <w:tcW w:w="2983"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工会经费</w:t>
            </w:r>
          </w:p>
        </w:tc>
        <w:tc>
          <w:tcPr>
            <w:tcW w:w="868"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80.27</w:t>
            </w:r>
          </w:p>
        </w:tc>
        <w:tc>
          <w:tcPr>
            <w:tcW w:w="624"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39907</w:t>
            </w:r>
          </w:p>
        </w:tc>
        <w:tc>
          <w:tcPr>
            <w:tcW w:w="3308"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国家赔偿费用支出</w:t>
            </w:r>
          </w:p>
        </w:tc>
        <w:tc>
          <w:tcPr>
            <w:tcW w:w="135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9" w:hRule="atLeast"/>
        </w:trPr>
        <w:tc>
          <w:tcPr>
            <w:tcW w:w="624"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30309</w:t>
            </w:r>
          </w:p>
        </w:tc>
        <w:tc>
          <w:tcPr>
            <w:tcW w:w="2658"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奖励金</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60.69</w:t>
            </w:r>
          </w:p>
        </w:tc>
        <w:tc>
          <w:tcPr>
            <w:tcW w:w="624"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30229</w:t>
            </w:r>
          </w:p>
        </w:tc>
        <w:tc>
          <w:tcPr>
            <w:tcW w:w="2983"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福利费</w:t>
            </w:r>
          </w:p>
        </w:tc>
        <w:tc>
          <w:tcPr>
            <w:tcW w:w="868"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80.85</w:t>
            </w:r>
          </w:p>
        </w:tc>
        <w:tc>
          <w:tcPr>
            <w:tcW w:w="624"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39908</w:t>
            </w:r>
          </w:p>
        </w:tc>
        <w:tc>
          <w:tcPr>
            <w:tcW w:w="3308"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对民间非营利组织和群众性自治组织补贴</w:t>
            </w:r>
          </w:p>
        </w:tc>
        <w:tc>
          <w:tcPr>
            <w:tcW w:w="135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9" w:hRule="atLeast"/>
        </w:trPr>
        <w:tc>
          <w:tcPr>
            <w:tcW w:w="624"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30310</w:t>
            </w:r>
          </w:p>
        </w:tc>
        <w:tc>
          <w:tcPr>
            <w:tcW w:w="2658"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个人农业生产补贴</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624"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30231</w:t>
            </w:r>
          </w:p>
        </w:tc>
        <w:tc>
          <w:tcPr>
            <w:tcW w:w="2983"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公务用车运行维护费</w:t>
            </w:r>
          </w:p>
        </w:tc>
        <w:tc>
          <w:tcPr>
            <w:tcW w:w="868"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301.85</w:t>
            </w:r>
          </w:p>
        </w:tc>
        <w:tc>
          <w:tcPr>
            <w:tcW w:w="624"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39999</w:t>
            </w:r>
          </w:p>
        </w:tc>
        <w:tc>
          <w:tcPr>
            <w:tcW w:w="3308"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其他支出</w:t>
            </w:r>
          </w:p>
        </w:tc>
        <w:tc>
          <w:tcPr>
            <w:tcW w:w="135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9" w:hRule="atLeast"/>
        </w:trPr>
        <w:tc>
          <w:tcPr>
            <w:tcW w:w="624"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30399</w:t>
            </w:r>
          </w:p>
        </w:tc>
        <w:tc>
          <w:tcPr>
            <w:tcW w:w="2658"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其他对个人和家庭的补助支出</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498.90</w:t>
            </w:r>
          </w:p>
        </w:tc>
        <w:tc>
          <w:tcPr>
            <w:tcW w:w="624"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30239</w:t>
            </w:r>
          </w:p>
        </w:tc>
        <w:tc>
          <w:tcPr>
            <w:tcW w:w="2983"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其他交通费用</w:t>
            </w:r>
          </w:p>
        </w:tc>
        <w:tc>
          <w:tcPr>
            <w:tcW w:w="868"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231.84</w:t>
            </w:r>
          </w:p>
        </w:tc>
        <w:tc>
          <w:tcPr>
            <w:tcW w:w="624"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3308"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135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9" w:hRule="atLeast"/>
        </w:trPr>
        <w:tc>
          <w:tcPr>
            <w:tcW w:w="624"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2658"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624"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30240</w:t>
            </w:r>
          </w:p>
        </w:tc>
        <w:tc>
          <w:tcPr>
            <w:tcW w:w="2983"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税金及附加费用</w:t>
            </w:r>
          </w:p>
        </w:tc>
        <w:tc>
          <w:tcPr>
            <w:tcW w:w="868"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624"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3308"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135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9" w:hRule="atLeast"/>
        </w:trPr>
        <w:tc>
          <w:tcPr>
            <w:tcW w:w="624"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2658"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624"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30299</w:t>
            </w:r>
          </w:p>
        </w:tc>
        <w:tc>
          <w:tcPr>
            <w:tcW w:w="2983"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xml:space="preserve">  其他商品和服务支出</w:t>
            </w:r>
          </w:p>
        </w:tc>
        <w:tc>
          <w:tcPr>
            <w:tcW w:w="868"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49.28</w:t>
            </w:r>
          </w:p>
        </w:tc>
        <w:tc>
          <w:tcPr>
            <w:tcW w:w="624"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3308"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135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9" w:hRule="atLeast"/>
        </w:trPr>
        <w:tc>
          <w:tcPr>
            <w:tcW w:w="3282" w:type="dxa"/>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人员经费合计</w:t>
            </w:r>
          </w:p>
        </w:tc>
        <w:tc>
          <w:tcPr>
            <w:tcW w:w="9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hint="default" w:ascii="宋体" w:hAnsi="宋体" w:eastAsia="宋体" w:cs="Arial"/>
                <w:color w:val="000000"/>
                <w:kern w:val="0"/>
                <w:sz w:val="16"/>
                <w:szCs w:val="16"/>
                <w:lang w:val="en-US" w:eastAsia="zh-CN"/>
              </w:rPr>
            </w:pPr>
            <w:r>
              <w:rPr>
                <w:rFonts w:hint="eastAsia" w:ascii="宋体" w:hAnsi="宋体" w:cs="Arial"/>
                <w:color w:val="000000"/>
                <w:kern w:val="0"/>
                <w:sz w:val="16"/>
                <w:szCs w:val="16"/>
              </w:rPr>
              <w:t>13,420.</w:t>
            </w:r>
            <w:r>
              <w:rPr>
                <w:rFonts w:hint="eastAsia" w:ascii="宋体" w:hAnsi="宋体" w:cs="Arial"/>
                <w:color w:val="000000"/>
                <w:kern w:val="0"/>
                <w:sz w:val="16"/>
                <w:szCs w:val="16"/>
                <w:lang w:val="en-US" w:eastAsia="zh-CN"/>
              </w:rPr>
              <w:t>70</w:t>
            </w:r>
          </w:p>
        </w:tc>
        <w:tc>
          <w:tcPr>
            <w:tcW w:w="8407" w:type="dxa"/>
            <w:gridSpan w:val="5"/>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6"/>
                <w:szCs w:val="16"/>
              </w:rPr>
            </w:pPr>
            <w:r>
              <w:rPr>
                <w:rFonts w:hint="eastAsia" w:ascii="宋体" w:hAnsi="宋体" w:cs="Arial"/>
                <w:color w:val="000000"/>
                <w:kern w:val="0"/>
                <w:sz w:val="16"/>
                <w:szCs w:val="16"/>
              </w:rPr>
              <w:t>公用经费合计</w:t>
            </w:r>
          </w:p>
        </w:tc>
        <w:tc>
          <w:tcPr>
            <w:tcW w:w="135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6"/>
                <w:szCs w:val="16"/>
              </w:rPr>
            </w:pPr>
            <w:r>
              <w:rPr>
                <w:rFonts w:hint="eastAsia" w:ascii="宋体" w:hAnsi="宋体" w:cs="Arial"/>
                <w:color w:val="000000"/>
                <w:kern w:val="0"/>
                <w:sz w:val="16"/>
                <w:szCs w:val="16"/>
              </w:rPr>
              <w:t>2,632.04</w:t>
            </w:r>
          </w:p>
        </w:tc>
      </w:tr>
      <w:tr>
        <w:tblPrEx>
          <w:tblCellMar>
            <w:top w:w="0" w:type="dxa"/>
            <w:left w:w="108" w:type="dxa"/>
            <w:bottom w:w="0" w:type="dxa"/>
            <w:right w:w="108" w:type="dxa"/>
          </w:tblCellMar>
        </w:tblPrEx>
        <w:trPr>
          <w:trHeight w:val="309" w:hRule="atLeast"/>
        </w:trPr>
        <w:tc>
          <w:tcPr>
            <w:tcW w:w="13992" w:type="dxa"/>
            <w:gridSpan w:val="9"/>
            <w:tcBorders>
              <w:top w:val="nil"/>
              <w:left w:val="nil"/>
              <w:bottom w:val="nil"/>
              <w:right w:val="nil"/>
            </w:tcBorders>
            <w:shd w:val="clear" w:color="auto" w:fill="auto"/>
            <w:noWrap/>
            <w:vAlign w:val="center"/>
          </w:tcPr>
          <w:p>
            <w:pPr>
              <w:widowControl/>
              <w:spacing w:after="0" w:line="240" w:lineRule="auto"/>
              <w:jc w:val="left"/>
              <w:rPr>
                <w:rFonts w:ascii="宋体" w:hAnsi="宋体" w:cs="Arial"/>
                <w:color w:val="000000"/>
                <w:kern w:val="0"/>
                <w:sz w:val="16"/>
                <w:szCs w:val="16"/>
              </w:rPr>
            </w:pPr>
            <w:r>
              <w:rPr>
                <w:rFonts w:hint="eastAsia" w:ascii="宋体" w:hAnsi="宋体" w:cs="Arial"/>
                <w:color w:val="000000"/>
                <w:kern w:val="0"/>
                <w:sz w:val="16"/>
                <w:szCs w:val="16"/>
              </w:rPr>
              <w:t>注：本表反映部门本年度一般公共预算财政拨款基本支出明细情况。</w:t>
            </w:r>
          </w:p>
        </w:tc>
      </w:tr>
      <w:tr>
        <w:tblPrEx>
          <w:tblCellMar>
            <w:top w:w="0" w:type="dxa"/>
            <w:left w:w="108" w:type="dxa"/>
            <w:bottom w:w="0" w:type="dxa"/>
            <w:right w:w="108" w:type="dxa"/>
          </w:tblCellMar>
        </w:tblPrEx>
        <w:trPr>
          <w:trHeight w:val="264" w:hRule="atLeast"/>
        </w:trPr>
        <w:tc>
          <w:tcPr>
            <w:tcW w:w="624" w:type="dxa"/>
            <w:tcBorders>
              <w:top w:val="nil"/>
              <w:left w:val="nil"/>
              <w:bottom w:val="nil"/>
              <w:right w:val="nil"/>
            </w:tcBorders>
            <w:shd w:val="clear" w:color="auto" w:fill="auto"/>
            <w:noWrap/>
            <w:vAlign w:val="bottom"/>
          </w:tcPr>
          <w:p>
            <w:pPr>
              <w:widowControl/>
              <w:spacing w:after="0" w:line="240" w:lineRule="auto"/>
              <w:jc w:val="left"/>
              <w:rPr>
                <w:rFonts w:ascii="宋体" w:hAnsi="宋体" w:cs="Arial"/>
                <w:color w:val="000000"/>
                <w:kern w:val="0"/>
                <w:sz w:val="16"/>
                <w:szCs w:val="16"/>
              </w:rPr>
            </w:pPr>
          </w:p>
        </w:tc>
        <w:tc>
          <w:tcPr>
            <w:tcW w:w="2658"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6"/>
                <w:szCs w:val="16"/>
              </w:rPr>
            </w:pPr>
          </w:p>
        </w:tc>
        <w:tc>
          <w:tcPr>
            <w:tcW w:w="949"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6"/>
                <w:szCs w:val="16"/>
              </w:rPr>
            </w:pPr>
          </w:p>
        </w:tc>
        <w:tc>
          <w:tcPr>
            <w:tcW w:w="624"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6"/>
                <w:szCs w:val="16"/>
              </w:rPr>
            </w:pPr>
          </w:p>
        </w:tc>
        <w:tc>
          <w:tcPr>
            <w:tcW w:w="2983"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6"/>
                <w:szCs w:val="16"/>
              </w:rPr>
            </w:pPr>
          </w:p>
        </w:tc>
        <w:tc>
          <w:tcPr>
            <w:tcW w:w="868"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6"/>
                <w:szCs w:val="16"/>
              </w:rPr>
            </w:pPr>
          </w:p>
        </w:tc>
        <w:tc>
          <w:tcPr>
            <w:tcW w:w="624"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6"/>
                <w:szCs w:val="16"/>
              </w:rPr>
            </w:pPr>
          </w:p>
        </w:tc>
        <w:tc>
          <w:tcPr>
            <w:tcW w:w="3308"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6"/>
                <w:szCs w:val="16"/>
              </w:rPr>
            </w:pPr>
          </w:p>
        </w:tc>
        <w:tc>
          <w:tcPr>
            <w:tcW w:w="1354"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6"/>
                <w:szCs w:val="16"/>
              </w:rPr>
            </w:pPr>
          </w:p>
        </w:tc>
      </w:tr>
      <w:tr>
        <w:tblPrEx>
          <w:tblCellMar>
            <w:top w:w="0" w:type="dxa"/>
            <w:left w:w="108" w:type="dxa"/>
            <w:bottom w:w="0" w:type="dxa"/>
            <w:right w:w="108" w:type="dxa"/>
          </w:tblCellMar>
        </w:tblPrEx>
        <w:trPr>
          <w:trHeight w:val="264" w:hRule="atLeast"/>
        </w:trPr>
        <w:tc>
          <w:tcPr>
            <w:tcW w:w="12638" w:type="dxa"/>
            <w:gridSpan w:val="8"/>
            <w:tcBorders>
              <w:top w:val="nil"/>
              <w:left w:val="nil"/>
              <w:bottom w:val="nil"/>
              <w:right w:val="nil"/>
            </w:tcBorders>
            <w:shd w:val="clear" w:color="auto" w:fill="auto"/>
            <w:noWrap/>
            <w:vAlign w:val="center"/>
          </w:tcPr>
          <w:p>
            <w:pPr>
              <w:widowControl/>
              <w:spacing w:after="0" w:line="240" w:lineRule="auto"/>
              <w:jc w:val="center"/>
              <w:rPr>
                <w:rFonts w:eastAsia="Times New Roman"/>
                <w:kern w:val="0"/>
                <w:sz w:val="16"/>
                <w:szCs w:val="16"/>
              </w:rPr>
            </w:pPr>
            <w:r>
              <w:rPr>
                <w:rFonts w:hint="eastAsia" w:ascii="宋体" w:hAnsi="宋体" w:cs="Arial"/>
                <w:color w:val="000000"/>
                <w:kern w:val="0"/>
                <w:sz w:val="16"/>
                <w:szCs w:val="16"/>
              </w:rPr>
              <w:t>— 6 —</w:t>
            </w:r>
          </w:p>
        </w:tc>
        <w:tc>
          <w:tcPr>
            <w:tcW w:w="1354"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6"/>
                <w:szCs w:val="16"/>
              </w:rPr>
            </w:pPr>
          </w:p>
        </w:tc>
      </w:tr>
    </w:tbl>
    <w:p>
      <w:pPr>
        <w:spacing w:after="0" w:line="240" w:lineRule="auto"/>
        <w:rPr>
          <w:rFonts w:ascii="Calibri" w:hAnsi="Calibri"/>
          <w:szCs w:val="22"/>
        </w:rPr>
      </w:pPr>
    </w:p>
    <w:p>
      <w:pPr>
        <w:widowControl/>
        <w:spacing w:after="0" w:line="240" w:lineRule="auto"/>
        <w:jc w:val="left"/>
        <w:rPr>
          <w:rFonts w:ascii="Calibri" w:hAnsi="Calibri"/>
          <w:szCs w:val="22"/>
        </w:rPr>
      </w:pPr>
      <w:r>
        <w:rPr>
          <w:rFonts w:ascii="Calibri" w:hAnsi="Calibri"/>
          <w:szCs w:val="22"/>
        </w:rPr>
        <w:br w:type="page"/>
      </w:r>
    </w:p>
    <w:p>
      <w:pPr>
        <w:spacing w:after="0" w:line="240" w:lineRule="auto"/>
        <w:rPr>
          <w:rFonts w:ascii="Calibri" w:hAnsi="Calibri"/>
          <w:szCs w:val="22"/>
        </w:rPr>
        <w:sectPr>
          <w:pgSz w:w="16838" w:h="11906" w:orient="landscape"/>
          <w:pgMar w:top="2098" w:right="1474" w:bottom="1588" w:left="1588" w:header="851" w:footer="992" w:gutter="0"/>
          <w:cols w:space="0" w:num="1"/>
          <w:docGrid w:type="linesAndChars" w:linePitch="312" w:charSpace="0"/>
        </w:sectPr>
      </w:pPr>
    </w:p>
    <w:tbl>
      <w:tblPr>
        <w:tblStyle w:val="12"/>
        <w:tblW w:w="8760" w:type="dxa"/>
        <w:tblInd w:w="108" w:type="dxa"/>
        <w:tblLayout w:type="fixed"/>
        <w:tblCellMar>
          <w:top w:w="0" w:type="dxa"/>
          <w:left w:w="108" w:type="dxa"/>
          <w:bottom w:w="0" w:type="dxa"/>
          <w:right w:w="108" w:type="dxa"/>
        </w:tblCellMar>
      </w:tblPr>
      <w:tblGrid>
        <w:gridCol w:w="1460"/>
        <w:gridCol w:w="1460"/>
        <w:gridCol w:w="1460"/>
        <w:gridCol w:w="1460"/>
        <w:gridCol w:w="1460"/>
        <w:gridCol w:w="1460"/>
      </w:tblGrid>
      <w:tr>
        <w:tblPrEx>
          <w:tblCellMar>
            <w:top w:w="0" w:type="dxa"/>
            <w:left w:w="108" w:type="dxa"/>
            <w:bottom w:w="0" w:type="dxa"/>
            <w:right w:w="108" w:type="dxa"/>
          </w:tblCellMar>
        </w:tblPrEx>
        <w:trPr>
          <w:trHeight w:val="384" w:hRule="atLeast"/>
        </w:trPr>
        <w:tc>
          <w:tcPr>
            <w:tcW w:w="8760" w:type="dxa"/>
            <w:gridSpan w:val="6"/>
            <w:tcBorders>
              <w:top w:val="nil"/>
              <w:left w:val="nil"/>
              <w:bottom w:val="nil"/>
              <w:right w:val="nil"/>
            </w:tcBorders>
            <w:shd w:val="clear" w:color="auto" w:fill="auto"/>
            <w:noWrap/>
            <w:vAlign w:val="bottom"/>
          </w:tcPr>
          <w:p>
            <w:pPr>
              <w:widowControl/>
              <w:spacing w:after="0" w:line="240" w:lineRule="auto"/>
              <w:jc w:val="center"/>
              <w:rPr>
                <w:rFonts w:ascii="宋体" w:hAnsi="宋体" w:cs="Arial"/>
                <w:b/>
                <w:bCs/>
                <w:color w:val="000000"/>
                <w:kern w:val="0"/>
                <w:sz w:val="30"/>
                <w:szCs w:val="30"/>
              </w:rPr>
            </w:pPr>
            <w:r>
              <w:rPr>
                <w:rFonts w:hint="eastAsia" w:ascii="宋体" w:hAnsi="宋体" w:cs="Arial"/>
                <w:b/>
                <w:bCs/>
                <w:color w:val="000000"/>
                <w:kern w:val="0"/>
                <w:sz w:val="30"/>
                <w:szCs w:val="30"/>
              </w:rPr>
              <w:t>一般公共预算财政拨款“三公”经费支出决算表</w:t>
            </w:r>
          </w:p>
        </w:tc>
      </w:tr>
      <w:tr>
        <w:tblPrEx>
          <w:tblCellMar>
            <w:top w:w="0" w:type="dxa"/>
            <w:left w:w="108" w:type="dxa"/>
            <w:bottom w:w="0" w:type="dxa"/>
            <w:right w:w="108" w:type="dxa"/>
          </w:tblCellMar>
        </w:tblPrEx>
        <w:trPr>
          <w:trHeight w:val="264" w:hRule="atLeast"/>
        </w:trPr>
        <w:tc>
          <w:tcPr>
            <w:tcW w:w="1460" w:type="dxa"/>
            <w:tcBorders>
              <w:top w:val="nil"/>
              <w:left w:val="nil"/>
              <w:bottom w:val="nil"/>
              <w:right w:val="nil"/>
            </w:tcBorders>
            <w:shd w:val="clear" w:color="auto" w:fill="auto"/>
            <w:noWrap/>
            <w:vAlign w:val="bottom"/>
          </w:tcPr>
          <w:p>
            <w:pPr>
              <w:widowControl/>
              <w:spacing w:after="0" w:line="240" w:lineRule="auto"/>
              <w:jc w:val="center"/>
              <w:rPr>
                <w:rFonts w:ascii="宋体" w:hAnsi="宋体" w:cs="Arial"/>
                <w:color w:val="000000"/>
                <w:kern w:val="0"/>
                <w:sz w:val="22"/>
                <w:szCs w:val="22"/>
              </w:rPr>
            </w:pPr>
          </w:p>
        </w:tc>
        <w:tc>
          <w:tcPr>
            <w:tcW w:w="1460"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22"/>
                <w:szCs w:val="22"/>
              </w:rPr>
            </w:pPr>
          </w:p>
        </w:tc>
        <w:tc>
          <w:tcPr>
            <w:tcW w:w="1460"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22"/>
                <w:szCs w:val="22"/>
              </w:rPr>
            </w:pPr>
          </w:p>
        </w:tc>
        <w:tc>
          <w:tcPr>
            <w:tcW w:w="1460"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22"/>
                <w:szCs w:val="22"/>
              </w:rPr>
            </w:pPr>
          </w:p>
        </w:tc>
        <w:tc>
          <w:tcPr>
            <w:tcW w:w="1460"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22"/>
                <w:szCs w:val="22"/>
              </w:rPr>
            </w:pPr>
          </w:p>
        </w:tc>
        <w:tc>
          <w:tcPr>
            <w:tcW w:w="1460" w:type="dxa"/>
            <w:tcBorders>
              <w:top w:val="nil"/>
              <w:left w:val="nil"/>
              <w:bottom w:val="nil"/>
              <w:right w:val="nil"/>
            </w:tcBorders>
            <w:shd w:val="clear" w:color="auto" w:fill="auto"/>
            <w:noWrap/>
            <w:vAlign w:val="bottom"/>
          </w:tcPr>
          <w:p>
            <w:pPr>
              <w:widowControl/>
              <w:spacing w:after="0" w:line="240" w:lineRule="auto"/>
              <w:jc w:val="right"/>
              <w:rPr>
                <w:rFonts w:ascii="宋体" w:hAnsi="宋体" w:cs="Arial"/>
                <w:color w:val="000000"/>
                <w:kern w:val="0"/>
                <w:sz w:val="22"/>
                <w:szCs w:val="22"/>
              </w:rPr>
            </w:pPr>
            <w:r>
              <w:rPr>
                <w:rFonts w:hint="eastAsia" w:ascii="宋体" w:hAnsi="宋体" w:cs="Arial"/>
                <w:color w:val="000000"/>
                <w:kern w:val="0"/>
                <w:sz w:val="22"/>
                <w:szCs w:val="22"/>
              </w:rPr>
              <w:t>公开07表</w:t>
            </w:r>
          </w:p>
        </w:tc>
      </w:tr>
      <w:tr>
        <w:tblPrEx>
          <w:tblCellMar>
            <w:top w:w="0" w:type="dxa"/>
            <w:left w:w="108" w:type="dxa"/>
            <w:bottom w:w="0" w:type="dxa"/>
            <w:right w:w="108" w:type="dxa"/>
          </w:tblCellMar>
        </w:tblPrEx>
        <w:trPr>
          <w:trHeight w:val="264" w:hRule="atLeast"/>
        </w:trPr>
        <w:tc>
          <w:tcPr>
            <w:tcW w:w="4380" w:type="dxa"/>
            <w:gridSpan w:val="3"/>
            <w:tcBorders>
              <w:top w:val="nil"/>
              <w:left w:val="nil"/>
              <w:bottom w:val="nil"/>
              <w:right w:val="nil"/>
            </w:tcBorders>
            <w:shd w:val="clear" w:color="auto" w:fill="auto"/>
            <w:noWrap/>
            <w:vAlign w:val="bottom"/>
          </w:tcPr>
          <w:p>
            <w:pPr>
              <w:widowControl/>
              <w:spacing w:after="0" w:line="240" w:lineRule="auto"/>
              <w:jc w:val="left"/>
              <w:rPr>
                <w:rFonts w:ascii="宋体" w:hAnsi="宋体" w:cs="Arial"/>
                <w:color w:val="000000"/>
                <w:kern w:val="0"/>
                <w:sz w:val="22"/>
                <w:szCs w:val="22"/>
              </w:rPr>
            </w:pPr>
            <w:r>
              <w:rPr>
                <w:rFonts w:hint="eastAsia" w:ascii="宋体" w:hAnsi="宋体" w:cs="Arial"/>
                <w:color w:val="000000"/>
                <w:kern w:val="0"/>
                <w:sz w:val="22"/>
                <w:szCs w:val="22"/>
              </w:rPr>
              <w:t>部门：唐山市环境保护局系统（汇总）</w:t>
            </w:r>
          </w:p>
        </w:tc>
        <w:tc>
          <w:tcPr>
            <w:tcW w:w="1460" w:type="dxa"/>
            <w:tcBorders>
              <w:top w:val="nil"/>
              <w:left w:val="nil"/>
              <w:bottom w:val="nil"/>
              <w:right w:val="nil"/>
            </w:tcBorders>
            <w:shd w:val="clear" w:color="auto" w:fill="auto"/>
            <w:noWrap/>
            <w:vAlign w:val="bottom"/>
          </w:tcPr>
          <w:p>
            <w:pPr>
              <w:widowControl/>
              <w:spacing w:after="0" w:line="240" w:lineRule="auto"/>
              <w:jc w:val="left"/>
              <w:rPr>
                <w:rFonts w:ascii="宋体" w:hAnsi="宋体" w:cs="Arial"/>
                <w:color w:val="000000"/>
                <w:kern w:val="0"/>
                <w:sz w:val="22"/>
                <w:szCs w:val="22"/>
              </w:rPr>
            </w:pPr>
          </w:p>
        </w:tc>
        <w:tc>
          <w:tcPr>
            <w:tcW w:w="2920" w:type="dxa"/>
            <w:gridSpan w:val="2"/>
            <w:tcBorders>
              <w:top w:val="nil"/>
              <w:left w:val="nil"/>
              <w:bottom w:val="nil"/>
            </w:tcBorders>
            <w:shd w:val="clear" w:color="auto" w:fill="auto"/>
            <w:noWrap/>
            <w:vAlign w:val="bottom"/>
          </w:tcPr>
          <w:p>
            <w:pPr>
              <w:widowControl/>
              <w:spacing w:after="0" w:line="240" w:lineRule="auto"/>
              <w:jc w:val="right"/>
              <w:rPr>
                <w:rFonts w:ascii="宋体" w:hAnsi="宋体" w:cs="Arial"/>
                <w:color w:val="000000"/>
                <w:kern w:val="0"/>
                <w:sz w:val="22"/>
                <w:szCs w:val="22"/>
              </w:rPr>
            </w:pPr>
            <w:r>
              <w:rPr>
                <w:rFonts w:hint="eastAsia" w:ascii="宋体" w:hAnsi="宋体" w:cs="Arial"/>
                <w:color w:val="000000"/>
                <w:kern w:val="0"/>
                <w:sz w:val="22"/>
                <w:szCs w:val="22"/>
              </w:rPr>
              <w:t>金额单位：万元</w:t>
            </w:r>
          </w:p>
        </w:tc>
      </w:tr>
      <w:tr>
        <w:tblPrEx>
          <w:tblCellMar>
            <w:top w:w="0" w:type="dxa"/>
            <w:left w:w="108" w:type="dxa"/>
            <w:bottom w:w="0" w:type="dxa"/>
            <w:right w:w="108" w:type="dxa"/>
          </w:tblCellMar>
        </w:tblPrEx>
        <w:trPr>
          <w:trHeight w:val="309" w:hRule="atLeast"/>
        </w:trPr>
        <w:tc>
          <w:tcPr>
            <w:tcW w:w="8760" w:type="dxa"/>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预算数</w:t>
            </w:r>
          </w:p>
        </w:tc>
      </w:tr>
      <w:tr>
        <w:tblPrEx>
          <w:tblCellMar>
            <w:top w:w="0" w:type="dxa"/>
            <w:left w:w="108" w:type="dxa"/>
            <w:bottom w:w="0" w:type="dxa"/>
            <w:right w:w="108" w:type="dxa"/>
          </w:tblCellMar>
        </w:tblPrEx>
        <w:trPr>
          <w:trHeight w:val="309" w:hRule="atLeast"/>
        </w:trPr>
        <w:tc>
          <w:tcPr>
            <w:tcW w:w="1460"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460" w:type="dxa"/>
            <w:vMerge w:val="restart"/>
            <w:tcBorders>
              <w:top w:val="nil"/>
              <w:left w:val="nil"/>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因公出国（境）费</w:t>
            </w:r>
          </w:p>
        </w:tc>
        <w:tc>
          <w:tcPr>
            <w:tcW w:w="4380" w:type="dxa"/>
            <w:gridSpan w:val="3"/>
            <w:tcBorders>
              <w:top w:val="nil"/>
              <w:left w:val="nil"/>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460" w:type="dxa"/>
            <w:vMerge w:val="restart"/>
            <w:tcBorders>
              <w:top w:val="nil"/>
              <w:left w:val="nil"/>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r>
      <w:tr>
        <w:tblPrEx>
          <w:tblCellMar>
            <w:top w:w="0" w:type="dxa"/>
            <w:left w:w="108" w:type="dxa"/>
            <w:bottom w:w="0" w:type="dxa"/>
            <w:right w:w="108" w:type="dxa"/>
          </w:tblCellMar>
        </w:tblPrEx>
        <w:trPr>
          <w:trHeight w:val="615" w:hRule="atLeast"/>
        </w:trPr>
        <w:tc>
          <w:tcPr>
            <w:tcW w:w="146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22"/>
                <w:szCs w:val="22"/>
              </w:rPr>
            </w:pPr>
          </w:p>
        </w:tc>
        <w:tc>
          <w:tcPr>
            <w:tcW w:w="1460"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22"/>
                <w:szCs w:val="22"/>
              </w:rPr>
            </w:pPr>
          </w:p>
        </w:tc>
        <w:tc>
          <w:tcPr>
            <w:tcW w:w="1460" w:type="dxa"/>
            <w:tcBorders>
              <w:top w:val="nil"/>
              <w:left w:val="nil"/>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460" w:type="dxa"/>
            <w:tcBorders>
              <w:top w:val="nil"/>
              <w:left w:val="nil"/>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460" w:type="dxa"/>
            <w:tcBorders>
              <w:top w:val="nil"/>
              <w:left w:val="nil"/>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460"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9" w:hRule="atLeast"/>
        </w:trPr>
        <w:tc>
          <w:tcPr>
            <w:tcW w:w="1460" w:type="dxa"/>
            <w:tcBorders>
              <w:top w:val="nil"/>
              <w:left w:val="single" w:color="000000" w:sz="4" w:space="0"/>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460" w:type="dxa"/>
            <w:tcBorders>
              <w:top w:val="nil"/>
              <w:left w:val="nil"/>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460" w:type="dxa"/>
            <w:tcBorders>
              <w:top w:val="nil"/>
              <w:left w:val="nil"/>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460" w:type="dxa"/>
            <w:tcBorders>
              <w:top w:val="nil"/>
              <w:left w:val="nil"/>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460" w:type="dxa"/>
            <w:tcBorders>
              <w:top w:val="nil"/>
              <w:left w:val="nil"/>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460" w:type="dxa"/>
            <w:tcBorders>
              <w:top w:val="nil"/>
              <w:left w:val="nil"/>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CellMar>
            <w:top w:w="0" w:type="dxa"/>
            <w:left w:w="108" w:type="dxa"/>
            <w:bottom w:w="0" w:type="dxa"/>
            <w:right w:w="108" w:type="dxa"/>
          </w:tblCellMar>
        </w:tblPrEx>
        <w:trPr>
          <w:trHeight w:val="309" w:hRule="atLeast"/>
        </w:trPr>
        <w:tc>
          <w:tcPr>
            <w:tcW w:w="1460" w:type="dxa"/>
            <w:tcBorders>
              <w:top w:val="nil"/>
              <w:left w:val="single" w:color="000000" w:sz="4" w:space="0"/>
              <w:bottom w:val="nil"/>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22"/>
                <w:szCs w:val="22"/>
              </w:rPr>
            </w:pPr>
            <w:r>
              <w:rPr>
                <w:rFonts w:hint="eastAsia" w:ascii="宋体" w:hAnsi="宋体" w:cs="Arial"/>
                <w:color w:val="000000"/>
                <w:kern w:val="0"/>
                <w:sz w:val="22"/>
                <w:szCs w:val="22"/>
              </w:rPr>
              <w:t>312.97</w:t>
            </w:r>
          </w:p>
        </w:tc>
        <w:tc>
          <w:tcPr>
            <w:tcW w:w="1460" w:type="dxa"/>
            <w:tcBorders>
              <w:top w:val="nil"/>
              <w:left w:val="nil"/>
              <w:bottom w:val="nil"/>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22"/>
                <w:szCs w:val="22"/>
              </w:rPr>
            </w:pPr>
          </w:p>
        </w:tc>
        <w:tc>
          <w:tcPr>
            <w:tcW w:w="1460" w:type="dxa"/>
            <w:tcBorders>
              <w:top w:val="nil"/>
              <w:left w:val="nil"/>
              <w:bottom w:val="nil"/>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22"/>
                <w:szCs w:val="22"/>
              </w:rPr>
            </w:pPr>
            <w:r>
              <w:rPr>
                <w:rFonts w:hint="eastAsia" w:ascii="宋体" w:hAnsi="宋体" w:cs="Arial"/>
                <w:color w:val="000000"/>
                <w:kern w:val="0"/>
                <w:sz w:val="22"/>
                <w:szCs w:val="22"/>
              </w:rPr>
              <w:t>303.97</w:t>
            </w:r>
          </w:p>
        </w:tc>
        <w:tc>
          <w:tcPr>
            <w:tcW w:w="1460" w:type="dxa"/>
            <w:tcBorders>
              <w:top w:val="nil"/>
              <w:left w:val="nil"/>
              <w:bottom w:val="nil"/>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22"/>
                <w:szCs w:val="22"/>
              </w:rPr>
            </w:pPr>
          </w:p>
        </w:tc>
        <w:tc>
          <w:tcPr>
            <w:tcW w:w="1460" w:type="dxa"/>
            <w:tcBorders>
              <w:top w:val="nil"/>
              <w:left w:val="nil"/>
              <w:bottom w:val="nil"/>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22"/>
                <w:szCs w:val="22"/>
              </w:rPr>
            </w:pPr>
            <w:r>
              <w:rPr>
                <w:rFonts w:hint="eastAsia" w:ascii="宋体" w:hAnsi="宋体" w:cs="Arial"/>
                <w:color w:val="000000"/>
                <w:kern w:val="0"/>
                <w:sz w:val="22"/>
                <w:szCs w:val="22"/>
              </w:rPr>
              <w:t>303.97</w:t>
            </w:r>
          </w:p>
        </w:tc>
        <w:tc>
          <w:tcPr>
            <w:tcW w:w="1460" w:type="dxa"/>
            <w:tcBorders>
              <w:top w:val="nil"/>
              <w:left w:val="nil"/>
              <w:bottom w:val="nil"/>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22"/>
                <w:szCs w:val="22"/>
              </w:rPr>
            </w:pPr>
            <w:r>
              <w:rPr>
                <w:rFonts w:hint="eastAsia" w:ascii="宋体" w:hAnsi="宋体" w:cs="Arial"/>
                <w:color w:val="000000"/>
                <w:kern w:val="0"/>
                <w:sz w:val="22"/>
                <w:szCs w:val="22"/>
              </w:rPr>
              <w:t>9.00</w:t>
            </w:r>
          </w:p>
        </w:tc>
      </w:tr>
      <w:tr>
        <w:tblPrEx>
          <w:tblCellMar>
            <w:top w:w="0" w:type="dxa"/>
            <w:left w:w="108" w:type="dxa"/>
            <w:bottom w:w="0" w:type="dxa"/>
            <w:right w:w="108" w:type="dxa"/>
          </w:tblCellMar>
        </w:tblPrEx>
        <w:trPr>
          <w:trHeight w:val="309" w:hRule="atLeast"/>
        </w:trPr>
        <w:tc>
          <w:tcPr>
            <w:tcW w:w="8760" w:type="dxa"/>
            <w:gridSpan w:val="6"/>
            <w:tcBorders>
              <w:top w:val="single" w:color="auto" w:sz="4" w:space="0"/>
              <w:left w:val="single" w:color="auto" w:sz="4" w:space="0"/>
              <w:bottom w:val="single" w:color="auto" w:sz="4" w:space="0"/>
              <w:right w:val="single" w:color="auto" w:sz="4" w:space="0"/>
            </w:tcBorders>
            <w:shd w:val="clear" w:color="FFFFFF" w:fill="C0C0C0"/>
            <w:vAlign w:val="center"/>
          </w:tcPr>
          <w:p>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决算数</w:t>
            </w:r>
          </w:p>
        </w:tc>
      </w:tr>
      <w:tr>
        <w:tblPrEx>
          <w:tblCellMar>
            <w:top w:w="0" w:type="dxa"/>
            <w:left w:w="108" w:type="dxa"/>
            <w:bottom w:w="0" w:type="dxa"/>
            <w:right w:w="108" w:type="dxa"/>
          </w:tblCellMar>
        </w:tblPrEx>
        <w:trPr>
          <w:trHeight w:val="309" w:hRule="atLeast"/>
        </w:trPr>
        <w:tc>
          <w:tcPr>
            <w:tcW w:w="1460" w:type="dxa"/>
            <w:vMerge w:val="restart"/>
            <w:tcBorders>
              <w:top w:val="nil"/>
              <w:left w:val="single" w:color="auto" w:sz="4" w:space="0"/>
              <w:bottom w:val="single" w:color="auto" w:sz="4" w:space="0"/>
              <w:right w:val="single" w:color="auto" w:sz="4" w:space="0"/>
            </w:tcBorders>
            <w:shd w:val="clear" w:color="FFFFFF" w:fill="C0C0C0"/>
            <w:vAlign w:val="center"/>
          </w:tcPr>
          <w:p>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460" w:type="dxa"/>
            <w:vMerge w:val="restart"/>
            <w:tcBorders>
              <w:top w:val="nil"/>
              <w:left w:val="single" w:color="auto" w:sz="4" w:space="0"/>
              <w:bottom w:val="single" w:color="auto" w:sz="4" w:space="0"/>
              <w:right w:val="single" w:color="auto" w:sz="4" w:space="0"/>
            </w:tcBorders>
            <w:shd w:val="clear" w:color="FFFFFF" w:fill="C0C0C0"/>
            <w:vAlign w:val="center"/>
          </w:tcPr>
          <w:p>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因公出国（境）费</w:t>
            </w:r>
          </w:p>
        </w:tc>
        <w:tc>
          <w:tcPr>
            <w:tcW w:w="4380" w:type="dxa"/>
            <w:gridSpan w:val="3"/>
            <w:tcBorders>
              <w:top w:val="single" w:color="auto" w:sz="4" w:space="0"/>
              <w:left w:val="nil"/>
              <w:bottom w:val="single" w:color="auto" w:sz="4" w:space="0"/>
              <w:right w:val="single" w:color="auto" w:sz="4" w:space="0"/>
            </w:tcBorders>
            <w:shd w:val="clear" w:color="FFFFFF" w:fill="C0C0C0"/>
            <w:vAlign w:val="center"/>
          </w:tcPr>
          <w:p>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460" w:type="dxa"/>
            <w:vMerge w:val="restart"/>
            <w:tcBorders>
              <w:top w:val="nil"/>
              <w:left w:val="single" w:color="auto" w:sz="4" w:space="0"/>
              <w:bottom w:val="single" w:color="auto" w:sz="4" w:space="0"/>
              <w:right w:val="single" w:color="auto" w:sz="4" w:space="0"/>
            </w:tcBorders>
            <w:shd w:val="clear" w:color="FFFFFF" w:fill="C0C0C0"/>
            <w:vAlign w:val="center"/>
          </w:tcPr>
          <w:p>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r>
      <w:tr>
        <w:tblPrEx>
          <w:tblCellMar>
            <w:top w:w="0" w:type="dxa"/>
            <w:left w:w="108" w:type="dxa"/>
            <w:bottom w:w="0" w:type="dxa"/>
            <w:right w:w="108" w:type="dxa"/>
          </w:tblCellMar>
        </w:tblPrEx>
        <w:trPr>
          <w:trHeight w:val="309" w:hRule="atLeast"/>
        </w:trPr>
        <w:tc>
          <w:tcPr>
            <w:tcW w:w="1460" w:type="dxa"/>
            <w:vMerge w:val="continue"/>
            <w:tcBorders>
              <w:top w:val="nil"/>
              <w:left w:val="single" w:color="auto" w:sz="4" w:space="0"/>
              <w:bottom w:val="single" w:color="auto" w:sz="4" w:space="0"/>
              <w:right w:val="single" w:color="auto" w:sz="4" w:space="0"/>
            </w:tcBorders>
            <w:vAlign w:val="center"/>
          </w:tcPr>
          <w:p>
            <w:pPr>
              <w:widowControl/>
              <w:spacing w:after="0" w:line="240" w:lineRule="auto"/>
              <w:jc w:val="left"/>
              <w:rPr>
                <w:rFonts w:ascii="宋体" w:hAnsi="宋体" w:cs="Arial"/>
                <w:color w:val="000000"/>
                <w:kern w:val="0"/>
                <w:sz w:val="22"/>
                <w:szCs w:val="22"/>
              </w:rPr>
            </w:pPr>
          </w:p>
        </w:tc>
        <w:tc>
          <w:tcPr>
            <w:tcW w:w="1460" w:type="dxa"/>
            <w:vMerge w:val="continue"/>
            <w:tcBorders>
              <w:top w:val="nil"/>
              <w:left w:val="single" w:color="auto" w:sz="4" w:space="0"/>
              <w:bottom w:val="single" w:color="auto" w:sz="4" w:space="0"/>
              <w:right w:val="single" w:color="auto" w:sz="4" w:space="0"/>
            </w:tcBorders>
            <w:vAlign w:val="center"/>
          </w:tcPr>
          <w:p>
            <w:pPr>
              <w:widowControl/>
              <w:spacing w:after="0" w:line="240" w:lineRule="auto"/>
              <w:jc w:val="left"/>
              <w:rPr>
                <w:rFonts w:ascii="宋体" w:hAnsi="宋体" w:cs="Arial"/>
                <w:color w:val="000000"/>
                <w:kern w:val="0"/>
                <w:sz w:val="22"/>
                <w:szCs w:val="22"/>
              </w:rPr>
            </w:pPr>
          </w:p>
        </w:tc>
        <w:tc>
          <w:tcPr>
            <w:tcW w:w="1460" w:type="dxa"/>
            <w:tcBorders>
              <w:top w:val="nil"/>
              <w:left w:val="nil"/>
              <w:bottom w:val="single" w:color="auto" w:sz="4" w:space="0"/>
              <w:right w:val="single" w:color="auto" w:sz="4" w:space="0"/>
            </w:tcBorders>
            <w:shd w:val="clear" w:color="FFFFFF" w:fill="C0C0C0"/>
            <w:vAlign w:val="center"/>
          </w:tcPr>
          <w:p>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460" w:type="dxa"/>
            <w:tcBorders>
              <w:top w:val="nil"/>
              <w:left w:val="nil"/>
              <w:bottom w:val="single" w:color="auto" w:sz="4" w:space="0"/>
              <w:right w:val="single" w:color="auto" w:sz="4" w:space="0"/>
            </w:tcBorders>
            <w:shd w:val="clear" w:color="FFFFFF" w:fill="C0C0C0"/>
            <w:vAlign w:val="center"/>
          </w:tcPr>
          <w:p>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460" w:type="dxa"/>
            <w:tcBorders>
              <w:top w:val="nil"/>
              <w:left w:val="nil"/>
              <w:bottom w:val="single" w:color="auto" w:sz="4" w:space="0"/>
              <w:right w:val="single" w:color="auto" w:sz="4" w:space="0"/>
            </w:tcBorders>
            <w:shd w:val="clear" w:color="FFFFFF" w:fill="C0C0C0"/>
            <w:vAlign w:val="center"/>
          </w:tcPr>
          <w:p>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460" w:type="dxa"/>
            <w:vMerge w:val="continue"/>
            <w:tcBorders>
              <w:top w:val="nil"/>
              <w:left w:val="single" w:color="auto" w:sz="4" w:space="0"/>
              <w:bottom w:val="single" w:color="auto" w:sz="4" w:space="0"/>
              <w:right w:val="single" w:color="auto" w:sz="4" w:space="0"/>
            </w:tcBorders>
            <w:vAlign w:val="center"/>
          </w:tcPr>
          <w:p>
            <w:pPr>
              <w:widowControl/>
              <w:spacing w:after="0" w:line="240" w:lineRule="auto"/>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9" w:hRule="atLeast"/>
        </w:trPr>
        <w:tc>
          <w:tcPr>
            <w:tcW w:w="1460" w:type="dxa"/>
            <w:tcBorders>
              <w:top w:val="nil"/>
              <w:left w:val="single" w:color="auto" w:sz="4" w:space="0"/>
              <w:bottom w:val="single" w:color="auto" w:sz="4" w:space="0"/>
              <w:right w:val="single" w:color="auto" w:sz="4" w:space="0"/>
            </w:tcBorders>
            <w:shd w:val="clear" w:color="FFFFFF" w:fill="C0C0C0"/>
            <w:vAlign w:val="center"/>
          </w:tcPr>
          <w:p>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460" w:type="dxa"/>
            <w:tcBorders>
              <w:top w:val="nil"/>
              <w:left w:val="nil"/>
              <w:bottom w:val="single" w:color="auto" w:sz="4" w:space="0"/>
              <w:right w:val="single" w:color="auto" w:sz="4" w:space="0"/>
            </w:tcBorders>
            <w:shd w:val="clear" w:color="FFFFFF" w:fill="C0C0C0"/>
            <w:vAlign w:val="center"/>
          </w:tcPr>
          <w:p>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460" w:type="dxa"/>
            <w:tcBorders>
              <w:top w:val="nil"/>
              <w:left w:val="nil"/>
              <w:bottom w:val="single" w:color="auto" w:sz="4" w:space="0"/>
              <w:right w:val="single" w:color="auto" w:sz="4" w:space="0"/>
            </w:tcBorders>
            <w:shd w:val="clear" w:color="FFFFFF" w:fill="C0C0C0"/>
            <w:vAlign w:val="center"/>
          </w:tcPr>
          <w:p>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460" w:type="dxa"/>
            <w:tcBorders>
              <w:top w:val="nil"/>
              <w:left w:val="nil"/>
              <w:bottom w:val="single" w:color="auto" w:sz="4" w:space="0"/>
              <w:right w:val="single" w:color="auto" w:sz="4" w:space="0"/>
            </w:tcBorders>
            <w:shd w:val="clear" w:color="FFFFFF" w:fill="C0C0C0"/>
            <w:vAlign w:val="center"/>
          </w:tcPr>
          <w:p>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460" w:type="dxa"/>
            <w:tcBorders>
              <w:top w:val="nil"/>
              <w:left w:val="nil"/>
              <w:bottom w:val="single" w:color="auto" w:sz="4" w:space="0"/>
              <w:right w:val="single" w:color="auto" w:sz="4" w:space="0"/>
            </w:tcBorders>
            <w:shd w:val="clear" w:color="FFFFFF" w:fill="C0C0C0"/>
            <w:vAlign w:val="center"/>
          </w:tcPr>
          <w:p>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460" w:type="dxa"/>
            <w:tcBorders>
              <w:top w:val="nil"/>
              <w:left w:val="nil"/>
              <w:bottom w:val="single" w:color="auto" w:sz="4" w:space="0"/>
              <w:right w:val="single" w:color="auto" w:sz="4" w:space="0"/>
            </w:tcBorders>
            <w:shd w:val="clear" w:color="FFFFFF" w:fill="C0C0C0"/>
            <w:vAlign w:val="center"/>
          </w:tcPr>
          <w:p>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309" w:hRule="atLeast"/>
        </w:trPr>
        <w:tc>
          <w:tcPr>
            <w:tcW w:w="1460"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right"/>
              <w:rPr>
                <w:rFonts w:ascii="宋体" w:hAnsi="宋体" w:cs="Arial"/>
                <w:color w:val="000000"/>
                <w:kern w:val="0"/>
                <w:sz w:val="22"/>
                <w:szCs w:val="22"/>
              </w:rPr>
            </w:pPr>
            <w:r>
              <w:rPr>
                <w:rFonts w:hint="eastAsia" w:ascii="宋体" w:hAnsi="宋体" w:cs="Arial"/>
                <w:color w:val="000000"/>
                <w:kern w:val="0"/>
                <w:sz w:val="22"/>
                <w:szCs w:val="22"/>
              </w:rPr>
              <w:t>306.72</w:t>
            </w:r>
          </w:p>
        </w:tc>
        <w:tc>
          <w:tcPr>
            <w:tcW w:w="146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right"/>
              <w:rPr>
                <w:rFonts w:ascii="宋体" w:hAnsi="宋体" w:cs="Arial"/>
                <w:color w:val="000000"/>
                <w:kern w:val="0"/>
                <w:sz w:val="22"/>
                <w:szCs w:val="22"/>
              </w:rPr>
            </w:pPr>
          </w:p>
        </w:tc>
        <w:tc>
          <w:tcPr>
            <w:tcW w:w="146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right"/>
              <w:rPr>
                <w:rFonts w:ascii="宋体" w:hAnsi="宋体" w:cs="Arial"/>
                <w:color w:val="000000"/>
                <w:kern w:val="0"/>
                <w:sz w:val="22"/>
                <w:szCs w:val="22"/>
              </w:rPr>
            </w:pPr>
            <w:r>
              <w:rPr>
                <w:rFonts w:hint="eastAsia" w:ascii="宋体" w:hAnsi="宋体" w:cs="Arial"/>
                <w:color w:val="000000"/>
                <w:kern w:val="0"/>
                <w:sz w:val="22"/>
                <w:szCs w:val="22"/>
              </w:rPr>
              <w:t>301.85</w:t>
            </w:r>
          </w:p>
        </w:tc>
        <w:tc>
          <w:tcPr>
            <w:tcW w:w="146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right"/>
              <w:rPr>
                <w:rFonts w:ascii="宋体" w:hAnsi="宋体" w:cs="Arial"/>
                <w:color w:val="000000"/>
                <w:kern w:val="0"/>
                <w:sz w:val="22"/>
                <w:szCs w:val="22"/>
              </w:rPr>
            </w:pPr>
          </w:p>
        </w:tc>
        <w:tc>
          <w:tcPr>
            <w:tcW w:w="146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right"/>
              <w:rPr>
                <w:rFonts w:ascii="宋体" w:hAnsi="宋体" w:cs="Arial"/>
                <w:color w:val="000000"/>
                <w:kern w:val="0"/>
                <w:sz w:val="22"/>
                <w:szCs w:val="22"/>
              </w:rPr>
            </w:pPr>
            <w:r>
              <w:rPr>
                <w:rFonts w:hint="eastAsia" w:ascii="宋体" w:hAnsi="宋体" w:cs="Arial"/>
                <w:color w:val="000000"/>
                <w:kern w:val="0"/>
                <w:sz w:val="22"/>
                <w:szCs w:val="22"/>
              </w:rPr>
              <w:t>301.85</w:t>
            </w:r>
          </w:p>
        </w:tc>
        <w:tc>
          <w:tcPr>
            <w:tcW w:w="146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right"/>
              <w:rPr>
                <w:rFonts w:ascii="宋体" w:hAnsi="宋体" w:cs="Arial"/>
                <w:color w:val="000000"/>
                <w:kern w:val="0"/>
                <w:sz w:val="22"/>
                <w:szCs w:val="22"/>
              </w:rPr>
            </w:pPr>
            <w:r>
              <w:rPr>
                <w:rFonts w:hint="eastAsia" w:ascii="宋体" w:hAnsi="宋体" w:cs="Arial"/>
                <w:color w:val="000000"/>
                <w:kern w:val="0"/>
                <w:sz w:val="22"/>
                <w:szCs w:val="22"/>
              </w:rPr>
              <w:t>4.87</w:t>
            </w:r>
          </w:p>
        </w:tc>
      </w:tr>
      <w:tr>
        <w:tblPrEx>
          <w:tblCellMar>
            <w:top w:w="0" w:type="dxa"/>
            <w:left w:w="108" w:type="dxa"/>
            <w:bottom w:w="0" w:type="dxa"/>
            <w:right w:w="108" w:type="dxa"/>
          </w:tblCellMar>
        </w:tblPrEx>
        <w:trPr>
          <w:trHeight w:val="309" w:hRule="atLeast"/>
        </w:trPr>
        <w:tc>
          <w:tcPr>
            <w:tcW w:w="1460" w:type="dxa"/>
            <w:tcBorders>
              <w:top w:val="nil"/>
              <w:left w:val="nil"/>
              <w:bottom w:val="nil"/>
              <w:right w:val="nil"/>
            </w:tcBorders>
            <w:shd w:val="clear" w:color="auto" w:fill="auto"/>
            <w:noWrap/>
            <w:vAlign w:val="center"/>
          </w:tcPr>
          <w:p>
            <w:pPr>
              <w:widowControl/>
              <w:spacing w:after="0" w:line="240" w:lineRule="auto"/>
              <w:jc w:val="right"/>
              <w:rPr>
                <w:rFonts w:ascii="宋体" w:hAnsi="宋体" w:cs="Arial"/>
                <w:color w:val="000000"/>
                <w:kern w:val="0"/>
                <w:sz w:val="22"/>
                <w:szCs w:val="22"/>
              </w:rPr>
            </w:pPr>
          </w:p>
        </w:tc>
        <w:tc>
          <w:tcPr>
            <w:tcW w:w="1460" w:type="dxa"/>
            <w:tcBorders>
              <w:top w:val="nil"/>
              <w:left w:val="nil"/>
              <w:bottom w:val="nil"/>
              <w:right w:val="nil"/>
            </w:tcBorders>
            <w:shd w:val="clear" w:color="auto" w:fill="auto"/>
            <w:noWrap/>
            <w:vAlign w:val="center"/>
          </w:tcPr>
          <w:p>
            <w:pPr>
              <w:widowControl/>
              <w:spacing w:after="0" w:line="240" w:lineRule="auto"/>
              <w:jc w:val="right"/>
              <w:rPr>
                <w:rFonts w:eastAsia="Times New Roman"/>
                <w:kern w:val="0"/>
                <w:sz w:val="22"/>
                <w:szCs w:val="22"/>
              </w:rPr>
            </w:pPr>
          </w:p>
        </w:tc>
        <w:tc>
          <w:tcPr>
            <w:tcW w:w="1460" w:type="dxa"/>
            <w:tcBorders>
              <w:top w:val="nil"/>
              <w:left w:val="nil"/>
              <w:bottom w:val="nil"/>
              <w:right w:val="nil"/>
            </w:tcBorders>
            <w:shd w:val="clear" w:color="auto" w:fill="auto"/>
            <w:noWrap/>
            <w:vAlign w:val="center"/>
          </w:tcPr>
          <w:p>
            <w:pPr>
              <w:widowControl/>
              <w:spacing w:after="0" w:line="240" w:lineRule="auto"/>
              <w:jc w:val="right"/>
              <w:rPr>
                <w:rFonts w:eastAsia="Times New Roman"/>
                <w:kern w:val="0"/>
                <w:sz w:val="22"/>
                <w:szCs w:val="22"/>
              </w:rPr>
            </w:pPr>
          </w:p>
        </w:tc>
        <w:tc>
          <w:tcPr>
            <w:tcW w:w="1460" w:type="dxa"/>
            <w:tcBorders>
              <w:top w:val="nil"/>
              <w:left w:val="nil"/>
              <w:bottom w:val="nil"/>
              <w:right w:val="nil"/>
            </w:tcBorders>
            <w:shd w:val="clear" w:color="auto" w:fill="auto"/>
            <w:noWrap/>
            <w:vAlign w:val="center"/>
          </w:tcPr>
          <w:p>
            <w:pPr>
              <w:widowControl/>
              <w:spacing w:after="0" w:line="240" w:lineRule="auto"/>
              <w:jc w:val="right"/>
              <w:rPr>
                <w:rFonts w:eastAsia="Times New Roman"/>
                <w:kern w:val="0"/>
                <w:sz w:val="22"/>
                <w:szCs w:val="22"/>
              </w:rPr>
            </w:pPr>
          </w:p>
        </w:tc>
        <w:tc>
          <w:tcPr>
            <w:tcW w:w="1460" w:type="dxa"/>
            <w:tcBorders>
              <w:top w:val="nil"/>
              <w:left w:val="nil"/>
              <w:bottom w:val="nil"/>
              <w:right w:val="nil"/>
            </w:tcBorders>
            <w:shd w:val="clear" w:color="auto" w:fill="auto"/>
            <w:noWrap/>
            <w:vAlign w:val="center"/>
          </w:tcPr>
          <w:p>
            <w:pPr>
              <w:widowControl/>
              <w:spacing w:after="0" w:line="240" w:lineRule="auto"/>
              <w:jc w:val="right"/>
              <w:rPr>
                <w:rFonts w:eastAsia="Times New Roman"/>
                <w:kern w:val="0"/>
                <w:sz w:val="22"/>
                <w:szCs w:val="22"/>
              </w:rPr>
            </w:pPr>
          </w:p>
        </w:tc>
        <w:tc>
          <w:tcPr>
            <w:tcW w:w="1460" w:type="dxa"/>
            <w:tcBorders>
              <w:top w:val="nil"/>
              <w:left w:val="nil"/>
              <w:bottom w:val="nil"/>
              <w:right w:val="nil"/>
            </w:tcBorders>
            <w:shd w:val="clear" w:color="auto" w:fill="auto"/>
            <w:noWrap/>
            <w:vAlign w:val="center"/>
          </w:tcPr>
          <w:p>
            <w:pPr>
              <w:widowControl/>
              <w:spacing w:after="0" w:line="240" w:lineRule="auto"/>
              <w:jc w:val="right"/>
              <w:rPr>
                <w:rFonts w:eastAsia="Times New Roman"/>
                <w:kern w:val="0"/>
                <w:sz w:val="22"/>
                <w:szCs w:val="22"/>
              </w:rPr>
            </w:pPr>
          </w:p>
        </w:tc>
      </w:tr>
      <w:tr>
        <w:tblPrEx>
          <w:tblCellMar>
            <w:top w:w="0" w:type="dxa"/>
            <w:left w:w="108" w:type="dxa"/>
            <w:bottom w:w="0" w:type="dxa"/>
            <w:right w:w="108" w:type="dxa"/>
          </w:tblCellMar>
        </w:tblPrEx>
        <w:trPr>
          <w:trHeight w:val="936" w:hRule="atLeast"/>
        </w:trPr>
        <w:tc>
          <w:tcPr>
            <w:tcW w:w="8760" w:type="dxa"/>
            <w:gridSpan w:val="6"/>
            <w:tcBorders>
              <w:top w:val="nil"/>
              <w:left w:val="nil"/>
              <w:bottom w:val="nil"/>
              <w:right w:val="nil"/>
            </w:tcBorders>
            <w:shd w:val="clear" w:color="auto" w:fill="auto"/>
            <w:vAlign w:val="center"/>
          </w:tcPr>
          <w:p>
            <w:pPr>
              <w:widowControl/>
              <w:spacing w:after="0" w:line="240" w:lineRule="auto"/>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注：本表反映部门本年度“三公”经费支出预决算情况。其中：预算数为“三公”经费年初预算数，决算数是包括当年一般公共预算财政拨款和以前年度结转资金安排的实际支出。</w:t>
            </w:r>
          </w:p>
        </w:tc>
      </w:tr>
      <w:tr>
        <w:tblPrEx>
          <w:tblCellMar>
            <w:top w:w="0" w:type="dxa"/>
            <w:left w:w="108" w:type="dxa"/>
            <w:bottom w:w="0" w:type="dxa"/>
            <w:right w:w="108" w:type="dxa"/>
          </w:tblCellMar>
        </w:tblPrEx>
        <w:trPr>
          <w:trHeight w:val="264" w:hRule="atLeast"/>
        </w:trPr>
        <w:tc>
          <w:tcPr>
            <w:tcW w:w="1460" w:type="dxa"/>
            <w:tcBorders>
              <w:top w:val="nil"/>
              <w:left w:val="nil"/>
              <w:bottom w:val="nil"/>
              <w:right w:val="nil"/>
            </w:tcBorders>
            <w:shd w:val="clear" w:color="auto" w:fill="auto"/>
            <w:noWrap/>
            <w:vAlign w:val="bottom"/>
          </w:tcPr>
          <w:p>
            <w:pPr>
              <w:widowControl/>
              <w:spacing w:after="0" w:line="240" w:lineRule="auto"/>
              <w:jc w:val="left"/>
              <w:rPr>
                <w:rFonts w:ascii="宋体" w:hAnsi="宋体" w:cs="Arial"/>
                <w:color w:val="000000"/>
                <w:kern w:val="0"/>
                <w:sz w:val="22"/>
                <w:szCs w:val="22"/>
              </w:rPr>
            </w:pPr>
          </w:p>
        </w:tc>
        <w:tc>
          <w:tcPr>
            <w:tcW w:w="1460"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22"/>
                <w:szCs w:val="22"/>
              </w:rPr>
            </w:pPr>
          </w:p>
        </w:tc>
        <w:tc>
          <w:tcPr>
            <w:tcW w:w="1460"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22"/>
                <w:szCs w:val="22"/>
              </w:rPr>
            </w:pPr>
          </w:p>
        </w:tc>
        <w:tc>
          <w:tcPr>
            <w:tcW w:w="1460"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22"/>
                <w:szCs w:val="22"/>
              </w:rPr>
            </w:pPr>
          </w:p>
        </w:tc>
        <w:tc>
          <w:tcPr>
            <w:tcW w:w="1460"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22"/>
                <w:szCs w:val="22"/>
              </w:rPr>
            </w:pPr>
          </w:p>
        </w:tc>
        <w:tc>
          <w:tcPr>
            <w:tcW w:w="1460"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22"/>
                <w:szCs w:val="22"/>
              </w:rPr>
            </w:pPr>
          </w:p>
        </w:tc>
      </w:tr>
      <w:tr>
        <w:tblPrEx>
          <w:tblCellMar>
            <w:top w:w="0" w:type="dxa"/>
            <w:left w:w="108" w:type="dxa"/>
            <w:bottom w:w="0" w:type="dxa"/>
            <w:right w:w="108" w:type="dxa"/>
          </w:tblCellMar>
        </w:tblPrEx>
        <w:trPr>
          <w:trHeight w:val="264" w:hRule="atLeast"/>
        </w:trPr>
        <w:tc>
          <w:tcPr>
            <w:tcW w:w="8760" w:type="dxa"/>
            <w:gridSpan w:val="6"/>
            <w:tcBorders>
              <w:top w:val="nil"/>
              <w:left w:val="nil"/>
              <w:bottom w:val="nil"/>
              <w:right w:val="nil"/>
            </w:tcBorders>
            <w:shd w:val="clear" w:color="auto" w:fill="auto"/>
            <w:noWrap/>
            <w:vAlign w:val="center"/>
          </w:tcPr>
          <w:p>
            <w:pPr>
              <w:widowControl/>
              <w:spacing w:after="0" w:line="240" w:lineRule="auto"/>
              <w:jc w:val="center"/>
              <w:rPr>
                <w:rFonts w:eastAsia="Times New Roman"/>
                <w:kern w:val="0"/>
                <w:sz w:val="22"/>
                <w:szCs w:val="22"/>
              </w:rPr>
            </w:pPr>
            <w:r>
              <w:rPr>
                <w:rFonts w:hint="eastAsia" w:ascii="宋体" w:hAnsi="宋体" w:cs="Arial"/>
                <w:color w:val="000000"/>
                <w:kern w:val="0"/>
                <w:sz w:val="22"/>
                <w:szCs w:val="22"/>
              </w:rPr>
              <w:t>— 7</w:t>
            </w:r>
            <w:r>
              <w:rPr>
                <w:rFonts w:ascii="宋体" w:hAnsi="宋体" w:cs="Arial"/>
                <w:color w:val="000000"/>
                <w:kern w:val="0"/>
                <w:sz w:val="22"/>
                <w:szCs w:val="22"/>
              </w:rPr>
              <w:t xml:space="preserve"> </w:t>
            </w:r>
            <w:r>
              <w:rPr>
                <w:rFonts w:hint="eastAsia" w:ascii="宋体" w:hAnsi="宋体" w:cs="Arial"/>
                <w:color w:val="000000"/>
                <w:kern w:val="0"/>
                <w:sz w:val="22"/>
                <w:szCs w:val="22"/>
              </w:rPr>
              <w:t>—</w:t>
            </w:r>
          </w:p>
        </w:tc>
      </w:tr>
    </w:tbl>
    <w:p>
      <w:pPr>
        <w:widowControl/>
        <w:spacing w:after="0" w:line="240" w:lineRule="auto"/>
        <w:jc w:val="left"/>
        <w:rPr>
          <w:rFonts w:ascii="Calibri" w:hAnsi="Calibri"/>
          <w:szCs w:val="22"/>
        </w:rPr>
      </w:pPr>
    </w:p>
    <w:p>
      <w:pPr>
        <w:widowControl/>
        <w:spacing w:after="0" w:line="240" w:lineRule="auto"/>
        <w:jc w:val="left"/>
        <w:rPr>
          <w:rFonts w:ascii="Calibri" w:hAnsi="Calibri"/>
          <w:szCs w:val="22"/>
        </w:rPr>
      </w:pPr>
    </w:p>
    <w:p>
      <w:pPr>
        <w:widowControl/>
        <w:spacing w:after="0" w:line="240" w:lineRule="auto"/>
        <w:jc w:val="left"/>
        <w:rPr>
          <w:rFonts w:ascii="Calibri" w:hAnsi="Calibri"/>
          <w:szCs w:val="22"/>
        </w:rPr>
      </w:pPr>
    </w:p>
    <w:p>
      <w:pPr>
        <w:widowControl/>
        <w:spacing w:after="0" w:line="240" w:lineRule="auto"/>
        <w:jc w:val="left"/>
        <w:rPr>
          <w:rFonts w:ascii="Calibri" w:hAnsi="Calibri"/>
          <w:szCs w:val="22"/>
        </w:rPr>
      </w:pPr>
    </w:p>
    <w:p>
      <w:pPr>
        <w:widowControl/>
        <w:spacing w:after="0" w:line="240" w:lineRule="auto"/>
        <w:jc w:val="left"/>
        <w:rPr>
          <w:rFonts w:ascii="Calibri" w:hAnsi="Calibri"/>
          <w:szCs w:val="22"/>
        </w:rPr>
      </w:pPr>
    </w:p>
    <w:p>
      <w:pPr>
        <w:widowControl/>
        <w:spacing w:after="0" w:line="240" w:lineRule="auto"/>
        <w:jc w:val="left"/>
        <w:rPr>
          <w:rFonts w:ascii="Calibri" w:hAnsi="Calibri"/>
          <w:szCs w:val="22"/>
        </w:rPr>
      </w:pPr>
    </w:p>
    <w:p>
      <w:pPr>
        <w:widowControl/>
        <w:spacing w:after="0" w:line="240" w:lineRule="auto"/>
        <w:jc w:val="left"/>
        <w:rPr>
          <w:rFonts w:ascii="Calibri" w:hAnsi="Calibri"/>
          <w:szCs w:val="22"/>
        </w:rPr>
      </w:pPr>
    </w:p>
    <w:p>
      <w:pPr>
        <w:widowControl/>
        <w:spacing w:after="0" w:line="240" w:lineRule="auto"/>
        <w:jc w:val="left"/>
        <w:rPr>
          <w:rFonts w:ascii="Calibri" w:hAnsi="Calibri"/>
          <w:szCs w:val="22"/>
        </w:rPr>
      </w:pPr>
    </w:p>
    <w:p>
      <w:pPr>
        <w:widowControl/>
        <w:spacing w:after="0" w:line="240" w:lineRule="auto"/>
        <w:jc w:val="left"/>
        <w:rPr>
          <w:rFonts w:ascii="Calibri" w:hAnsi="Calibri"/>
          <w:szCs w:val="22"/>
        </w:rPr>
      </w:pPr>
    </w:p>
    <w:p>
      <w:pPr>
        <w:widowControl/>
        <w:spacing w:after="0" w:line="240" w:lineRule="auto"/>
        <w:jc w:val="left"/>
        <w:rPr>
          <w:rFonts w:ascii="Calibri" w:hAnsi="Calibri"/>
          <w:szCs w:val="22"/>
        </w:rPr>
      </w:pPr>
    </w:p>
    <w:p>
      <w:pPr>
        <w:widowControl/>
        <w:spacing w:after="0" w:line="240" w:lineRule="auto"/>
        <w:jc w:val="left"/>
        <w:rPr>
          <w:rFonts w:ascii="Calibri" w:hAnsi="Calibri"/>
          <w:szCs w:val="22"/>
        </w:rPr>
      </w:pPr>
    </w:p>
    <w:p>
      <w:pPr>
        <w:widowControl/>
        <w:spacing w:after="0" w:line="240" w:lineRule="auto"/>
        <w:jc w:val="left"/>
        <w:rPr>
          <w:rFonts w:ascii="Calibri" w:hAnsi="Calibri"/>
          <w:szCs w:val="22"/>
        </w:rPr>
      </w:pPr>
    </w:p>
    <w:p>
      <w:pPr>
        <w:widowControl/>
        <w:spacing w:after="0" w:line="240" w:lineRule="auto"/>
        <w:jc w:val="left"/>
        <w:rPr>
          <w:rFonts w:ascii="Calibri" w:hAnsi="Calibri"/>
          <w:szCs w:val="22"/>
        </w:rPr>
      </w:pPr>
    </w:p>
    <w:p>
      <w:pPr>
        <w:widowControl/>
        <w:spacing w:after="0" w:line="240" w:lineRule="auto"/>
        <w:jc w:val="left"/>
        <w:rPr>
          <w:rFonts w:ascii="Calibri" w:hAnsi="Calibri"/>
          <w:szCs w:val="22"/>
        </w:rPr>
      </w:pPr>
    </w:p>
    <w:p>
      <w:pPr>
        <w:widowControl/>
        <w:spacing w:after="0" w:line="240" w:lineRule="auto"/>
        <w:jc w:val="left"/>
        <w:rPr>
          <w:rFonts w:ascii="Calibri" w:hAnsi="Calibri"/>
          <w:szCs w:val="22"/>
        </w:rPr>
      </w:pPr>
    </w:p>
    <w:p>
      <w:pPr>
        <w:widowControl/>
        <w:spacing w:after="0" w:line="240" w:lineRule="auto"/>
        <w:jc w:val="left"/>
        <w:rPr>
          <w:rFonts w:ascii="Calibri" w:hAnsi="Calibri"/>
          <w:szCs w:val="22"/>
        </w:rPr>
      </w:pPr>
    </w:p>
    <w:p>
      <w:pPr>
        <w:widowControl/>
        <w:spacing w:after="0" w:line="240" w:lineRule="auto"/>
        <w:jc w:val="left"/>
        <w:rPr>
          <w:rFonts w:ascii="Calibri" w:hAnsi="Calibri"/>
          <w:szCs w:val="22"/>
        </w:rPr>
      </w:pPr>
    </w:p>
    <w:p>
      <w:pPr>
        <w:widowControl/>
        <w:spacing w:after="0" w:line="240" w:lineRule="auto"/>
        <w:jc w:val="left"/>
        <w:rPr>
          <w:rFonts w:ascii="Calibri" w:hAnsi="Calibri"/>
          <w:szCs w:val="22"/>
        </w:rPr>
      </w:pPr>
    </w:p>
    <w:p>
      <w:pPr>
        <w:widowControl/>
        <w:spacing w:after="0" w:line="240" w:lineRule="auto"/>
        <w:jc w:val="left"/>
        <w:rPr>
          <w:rFonts w:ascii="Calibri" w:hAnsi="Calibri"/>
          <w:szCs w:val="22"/>
        </w:rPr>
      </w:pPr>
    </w:p>
    <w:p>
      <w:pPr>
        <w:widowControl/>
        <w:spacing w:after="0" w:line="240" w:lineRule="auto"/>
        <w:jc w:val="left"/>
        <w:rPr>
          <w:rFonts w:ascii="Calibri" w:hAnsi="Calibri"/>
          <w:szCs w:val="22"/>
        </w:rPr>
      </w:pPr>
    </w:p>
    <w:p>
      <w:pPr>
        <w:widowControl/>
        <w:spacing w:after="0" w:line="240" w:lineRule="auto"/>
        <w:jc w:val="left"/>
        <w:rPr>
          <w:rFonts w:ascii="Calibri" w:hAnsi="Calibri"/>
          <w:szCs w:val="22"/>
        </w:rPr>
      </w:pPr>
      <w:r>
        <w:rPr>
          <w:rFonts w:ascii="Calibri" w:hAnsi="Calibri"/>
          <w:szCs w:val="22"/>
        </w:rPr>
        <w:br w:type="page"/>
      </w:r>
    </w:p>
    <w:p>
      <w:pPr>
        <w:widowControl/>
        <w:spacing w:after="0" w:line="240" w:lineRule="auto"/>
        <w:jc w:val="left"/>
        <w:rPr>
          <w:rFonts w:ascii="Calibri" w:hAnsi="Calibri"/>
          <w:szCs w:val="22"/>
        </w:rPr>
        <w:sectPr>
          <w:pgSz w:w="11906" w:h="16838"/>
          <w:pgMar w:top="1588" w:right="2098" w:bottom="1474" w:left="1588" w:header="851" w:footer="992" w:gutter="0"/>
          <w:cols w:space="0" w:num="1"/>
          <w:docGrid w:linePitch="312" w:charSpace="0"/>
        </w:sectPr>
      </w:pPr>
    </w:p>
    <w:tbl>
      <w:tblPr>
        <w:tblStyle w:val="12"/>
        <w:tblW w:w="13992" w:type="dxa"/>
        <w:tblInd w:w="0" w:type="dxa"/>
        <w:tblLayout w:type="fixed"/>
        <w:tblCellMar>
          <w:top w:w="0" w:type="dxa"/>
          <w:left w:w="108" w:type="dxa"/>
          <w:bottom w:w="0" w:type="dxa"/>
          <w:right w:w="108" w:type="dxa"/>
        </w:tblCellMar>
      </w:tblPr>
      <w:tblGrid>
        <w:gridCol w:w="236"/>
        <w:gridCol w:w="236"/>
        <w:gridCol w:w="237"/>
        <w:gridCol w:w="2909"/>
        <w:gridCol w:w="1875"/>
        <w:gridCol w:w="1721"/>
        <w:gridCol w:w="2107"/>
        <w:gridCol w:w="1850"/>
        <w:gridCol w:w="1349"/>
        <w:gridCol w:w="1472"/>
      </w:tblGrid>
      <w:tr>
        <w:tblPrEx>
          <w:tblCellMar>
            <w:top w:w="0" w:type="dxa"/>
            <w:left w:w="108" w:type="dxa"/>
            <w:bottom w:w="0" w:type="dxa"/>
            <w:right w:w="108" w:type="dxa"/>
          </w:tblCellMar>
        </w:tblPrEx>
        <w:trPr>
          <w:trHeight w:val="384" w:hRule="atLeast"/>
        </w:trPr>
        <w:tc>
          <w:tcPr>
            <w:tcW w:w="13992" w:type="dxa"/>
            <w:gridSpan w:val="10"/>
            <w:tcBorders>
              <w:top w:val="nil"/>
              <w:left w:val="nil"/>
              <w:bottom w:val="nil"/>
              <w:right w:val="nil"/>
            </w:tcBorders>
            <w:shd w:val="clear" w:color="auto" w:fill="auto"/>
            <w:noWrap/>
            <w:vAlign w:val="center"/>
          </w:tcPr>
          <w:p>
            <w:pPr>
              <w:widowControl/>
              <w:spacing w:after="0" w:line="240" w:lineRule="auto"/>
              <w:jc w:val="center"/>
              <w:rPr>
                <w:rFonts w:eastAsia="Times New Roman"/>
                <w:b/>
                <w:bCs/>
                <w:kern w:val="0"/>
                <w:sz w:val="30"/>
                <w:szCs w:val="30"/>
              </w:rPr>
            </w:pPr>
            <w:r>
              <w:rPr>
                <w:rFonts w:hint="eastAsia" w:ascii="宋体" w:hAnsi="宋体" w:cs="Arial"/>
                <w:b/>
                <w:bCs/>
                <w:color w:val="000000"/>
                <w:kern w:val="0"/>
                <w:sz w:val="30"/>
                <w:szCs w:val="30"/>
              </w:rPr>
              <w:t>政府性基金预算财政拨款收入支出决算表</w:t>
            </w:r>
          </w:p>
        </w:tc>
      </w:tr>
      <w:tr>
        <w:tblPrEx>
          <w:tblCellMar>
            <w:top w:w="0" w:type="dxa"/>
            <w:left w:w="108" w:type="dxa"/>
            <w:bottom w:w="0" w:type="dxa"/>
            <w:right w:w="108" w:type="dxa"/>
          </w:tblCellMar>
        </w:tblPrEx>
        <w:trPr>
          <w:trHeight w:val="264" w:hRule="atLeast"/>
        </w:trPr>
        <w:tc>
          <w:tcPr>
            <w:tcW w:w="236"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236"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237"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2909"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875"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721"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2107"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850"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349"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472" w:type="dxa"/>
            <w:tcBorders>
              <w:top w:val="nil"/>
              <w:left w:val="nil"/>
              <w:bottom w:val="nil"/>
              <w:right w:val="nil"/>
            </w:tcBorders>
            <w:shd w:val="clear" w:color="auto" w:fill="auto"/>
            <w:noWrap/>
            <w:vAlign w:val="bottom"/>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公开08表</w:t>
            </w:r>
          </w:p>
        </w:tc>
      </w:tr>
      <w:tr>
        <w:tblPrEx>
          <w:tblCellMar>
            <w:top w:w="0" w:type="dxa"/>
            <w:left w:w="108" w:type="dxa"/>
            <w:bottom w:w="0" w:type="dxa"/>
            <w:right w:w="108" w:type="dxa"/>
          </w:tblCellMar>
        </w:tblPrEx>
        <w:trPr>
          <w:trHeight w:val="264" w:hRule="atLeast"/>
        </w:trPr>
        <w:tc>
          <w:tcPr>
            <w:tcW w:w="3618" w:type="dxa"/>
            <w:gridSpan w:val="4"/>
            <w:tcBorders>
              <w:top w:val="nil"/>
              <w:left w:val="nil"/>
              <w:bottom w:val="nil"/>
              <w:right w:val="nil"/>
            </w:tcBorders>
            <w:shd w:val="clear" w:color="auto" w:fill="auto"/>
            <w:noWrap/>
            <w:vAlign w:val="bottom"/>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部门：唐山市环境保护局系统（汇总）</w:t>
            </w:r>
          </w:p>
        </w:tc>
        <w:tc>
          <w:tcPr>
            <w:tcW w:w="1875" w:type="dxa"/>
            <w:tcBorders>
              <w:top w:val="nil"/>
              <w:left w:val="nil"/>
              <w:bottom w:val="nil"/>
              <w:right w:val="nil"/>
            </w:tcBorders>
            <w:shd w:val="clear" w:color="auto" w:fill="auto"/>
            <w:noWrap/>
            <w:vAlign w:val="bottom"/>
          </w:tcPr>
          <w:p>
            <w:pPr>
              <w:widowControl/>
              <w:spacing w:after="0" w:line="240" w:lineRule="auto"/>
              <w:jc w:val="left"/>
              <w:rPr>
                <w:rFonts w:ascii="宋体" w:hAnsi="宋体" w:cs="Arial"/>
                <w:color w:val="000000"/>
                <w:kern w:val="0"/>
                <w:sz w:val="18"/>
                <w:szCs w:val="18"/>
              </w:rPr>
            </w:pPr>
          </w:p>
        </w:tc>
        <w:tc>
          <w:tcPr>
            <w:tcW w:w="1721"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2107"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850"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349"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472" w:type="dxa"/>
            <w:tcBorders>
              <w:top w:val="nil"/>
              <w:left w:val="nil"/>
              <w:bottom w:val="nil"/>
              <w:right w:val="nil"/>
            </w:tcBorders>
            <w:shd w:val="clear" w:color="auto" w:fill="auto"/>
            <w:noWrap/>
            <w:vAlign w:val="bottom"/>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金额单位：万元</w:t>
            </w:r>
          </w:p>
        </w:tc>
      </w:tr>
      <w:tr>
        <w:tblPrEx>
          <w:tblCellMar>
            <w:top w:w="0" w:type="dxa"/>
            <w:left w:w="108" w:type="dxa"/>
            <w:bottom w:w="0" w:type="dxa"/>
            <w:right w:w="108" w:type="dxa"/>
          </w:tblCellMar>
        </w:tblPrEx>
        <w:trPr>
          <w:trHeight w:val="309" w:hRule="atLeast"/>
        </w:trPr>
        <w:tc>
          <w:tcPr>
            <w:tcW w:w="3618"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1875"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年初结转和结余</w:t>
            </w:r>
          </w:p>
        </w:tc>
        <w:tc>
          <w:tcPr>
            <w:tcW w:w="1721"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本年收入</w:t>
            </w:r>
          </w:p>
        </w:tc>
        <w:tc>
          <w:tcPr>
            <w:tcW w:w="5306" w:type="dxa"/>
            <w:gridSpan w:val="3"/>
            <w:tcBorders>
              <w:top w:val="single" w:color="000000" w:sz="4" w:space="0"/>
              <w:left w:val="nil"/>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本年支出</w:t>
            </w:r>
          </w:p>
        </w:tc>
        <w:tc>
          <w:tcPr>
            <w:tcW w:w="1472"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年末结转和结余</w:t>
            </w:r>
          </w:p>
        </w:tc>
      </w:tr>
      <w:tr>
        <w:tblPrEx>
          <w:tblCellMar>
            <w:top w:w="0" w:type="dxa"/>
            <w:left w:w="108" w:type="dxa"/>
            <w:bottom w:w="0" w:type="dxa"/>
            <w:right w:w="108" w:type="dxa"/>
          </w:tblCellMar>
        </w:tblPrEx>
        <w:trPr>
          <w:trHeight w:val="309" w:hRule="atLeast"/>
        </w:trPr>
        <w:tc>
          <w:tcPr>
            <w:tcW w:w="709"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功能分类科目编码</w:t>
            </w:r>
          </w:p>
        </w:tc>
        <w:tc>
          <w:tcPr>
            <w:tcW w:w="2909" w:type="dxa"/>
            <w:vMerge w:val="restart"/>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科目名称</w:t>
            </w:r>
          </w:p>
        </w:tc>
        <w:tc>
          <w:tcPr>
            <w:tcW w:w="1875" w:type="dxa"/>
            <w:vMerge w:val="continue"/>
            <w:tcBorders>
              <w:top w:val="single" w:color="000000" w:sz="4" w:space="0"/>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1721" w:type="dxa"/>
            <w:vMerge w:val="continue"/>
            <w:tcBorders>
              <w:top w:val="single" w:color="000000" w:sz="4" w:space="0"/>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2107" w:type="dxa"/>
            <w:vMerge w:val="restart"/>
            <w:tcBorders>
              <w:top w:val="nil"/>
              <w:left w:val="nil"/>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小计</w:t>
            </w:r>
          </w:p>
        </w:tc>
        <w:tc>
          <w:tcPr>
            <w:tcW w:w="1850" w:type="dxa"/>
            <w:vMerge w:val="restart"/>
            <w:tcBorders>
              <w:top w:val="nil"/>
              <w:left w:val="nil"/>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基本支出</w:t>
            </w:r>
          </w:p>
        </w:tc>
        <w:tc>
          <w:tcPr>
            <w:tcW w:w="1349" w:type="dxa"/>
            <w:vMerge w:val="restart"/>
            <w:tcBorders>
              <w:top w:val="nil"/>
              <w:left w:val="nil"/>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项目支出</w:t>
            </w:r>
          </w:p>
        </w:tc>
        <w:tc>
          <w:tcPr>
            <w:tcW w:w="1472" w:type="dxa"/>
            <w:vMerge w:val="continue"/>
            <w:tcBorders>
              <w:top w:val="single" w:color="000000" w:sz="4" w:space="0"/>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r>
      <w:tr>
        <w:tblPrEx>
          <w:tblCellMar>
            <w:top w:w="0" w:type="dxa"/>
            <w:left w:w="108" w:type="dxa"/>
            <w:bottom w:w="0" w:type="dxa"/>
            <w:right w:w="108" w:type="dxa"/>
          </w:tblCellMar>
        </w:tblPrEx>
        <w:trPr>
          <w:trHeight w:val="309" w:hRule="atLeast"/>
        </w:trPr>
        <w:tc>
          <w:tcPr>
            <w:tcW w:w="709" w:type="dxa"/>
            <w:gridSpan w:val="3"/>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2909"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1875" w:type="dxa"/>
            <w:vMerge w:val="continue"/>
            <w:tcBorders>
              <w:top w:val="single" w:color="000000" w:sz="4" w:space="0"/>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1721" w:type="dxa"/>
            <w:vMerge w:val="continue"/>
            <w:tcBorders>
              <w:top w:val="single" w:color="000000" w:sz="4" w:space="0"/>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2107"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1850"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1349"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1472" w:type="dxa"/>
            <w:vMerge w:val="continue"/>
            <w:tcBorders>
              <w:top w:val="single" w:color="000000" w:sz="4" w:space="0"/>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r>
      <w:tr>
        <w:tblPrEx>
          <w:tblCellMar>
            <w:top w:w="0" w:type="dxa"/>
            <w:left w:w="108" w:type="dxa"/>
            <w:bottom w:w="0" w:type="dxa"/>
            <w:right w:w="108" w:type="dxa"/>
          </w:tblCellMar>
        </w:tblPrEx>
        <w:trPr>
          <w:trHeight w:val="309" w:hRule="atLeast"/>
        </w:trPr>
        <w:tc>
          <w:tcPr>
            <w:tcW w:w="709" w:type="dxa"/>
            <w:gridSpan w:val="3"/>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2909"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1875" w:type="dxa"/>
            <w:vMerge w:val="continue"/>
            <w:tcBorders>
              <w:top w:val="single" w:color="000000" w:sz="4" w:space="0"/>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1721" w:type="dxa"/>
            <w:vMerge w:val="continue"/>
            <w:tcBorders>
              <w:top w:val="single" w:color="000000" w:sz="4" w:space="0"/>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2107"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1850"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1349" w:type="dxa"/>
            <w:vMerge w:val="continue"/>
            <w:tcBorders>
              <w:top w:val="nil"/>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1472" w:type="dxa"/>
            <w:vMerge w:val="continue"/>
            <w:tcBorders>
              <w:top w:val="single" w:color="000000" w:sz="4" w:space="0"/>
              <w:left w:val="nil"/>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r>
      <w:tr>
        <w:tblPrEx>
          <w:tblCellMar>
            <w:top w:w="0" w:type="dxa"/>
            <w:left w:w="108" w:type="dxa"/>
            <w:bottom w:w="0" w:type="dxa"/>
            <w:right w:w="108" w:type="dxa"/>
          </w:tblCellMar>
        </w:tblPrEx>
        <w:trPr>
          <w:trHeight w:val="309" w:hRule="atLeast"/>
        </w:trPr>
        <w:tc>
          <w:tcPr>
            <w:tcW w:w="3618"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1875"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721"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2107"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850"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349"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472"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6</w:t>
            </w:r>
          </w:p>
        </w:tc>
      </w:tr>
      <w:tr>
        <w:tblPrEx>
          <w:tblCellMar>
            <w:top w:w="0" w:type="dxa"/>
            <w:left w:w="108" w:type="dxa"/>
            <w:bottom w:w="0" w:type="dxa"/>
            <w:right w:w="108" w:type="dxa"/>
          </w:tblCellMar>
        </w:tblPrEx>
        <w:trPr>
          <w:trHeight w:val="309" w:hRule="atLeast"/>
        </w:trPr>
        <w:tc>
          <w:tcPr>
            <w:tcW w:w="3618"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187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b/>
                <w:bCs/>
                <w:color w:val="000000"/>
                <w:kern w:val="0"/>
                <w:sz w:val="18"/>
                <w:szCs w:val="18"/>
              </w:rPr>
            </w:pPr>
          </w:p>
        </w:tc>
        <w:tc>
          <w:tcPr>
            <w:tcW w:w="1721"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b/>
                <w:bCs/>
                <w:color w:val="000000"/>
                <w:kern w:val="0"/>
                <w:sz w:val="18"/>
                <w:szCs w:val="18"/>
              </w:rPr>
            </w:pPr>
          </w:p>
        </w:tc>
        <w:tc>
          <w:tcPr>
            <w:tcW w:w="210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b/>
                <w:bCs/>
                <w:color w:val="000000"/>
                <w:kern w:val="0"/>
                <w:sz w:val="18"/>
                <w:szCs w:val="18"/>
              </w:rPr>
            </w:pPr>
          </w:p>
        </w:tc>
        <w:tc>
          <w:tcPr>
            <w:tcW w:w="1850"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b/>
                <w:bCs/>
                <w:color w:val="000000"/>
                <w:kern w:val="0"/>
                <w:sz w:val="18"/>
                <w:szCs w:val="18"/>
              </w:rPr>
            </w:pPr>
          </w:p>
        </w:tc>
        <w:tc>
          <w:tcPr>
            <w:tcW w:w="13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b/>
                <w:bCs/>
                <w:color w:val="000000"/>
                <w:kern w:val="0"/>
                <w:sz w:val="18"/>
                <w:szCs w:val="18"/>
              </w:rPr>
            </w:pPr>
          </w:p>
        </w:tc>
        <w:tc>
          <w:tcPr>
            <w:tcW w:w="147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b/>
                <w:bCs/>
                <w:color w:val="000000"/>
                <w:kern w:val="0"/>
                <w:sz w:val="18"/>
                <w:szCs w:val="18"/>
              </w:rPr>
            </w:pPr>
          </w:p>
        </w:tc>
      </w:tr>
      <w:tr>
        <w:tblPrEx>
          <w:tblCellMar>
            <w:top w:w="0" w:type="dxa"/>
            <w:left w:w="108" w:type="dxa"/>
            <w:bottom w:w="0" w:type="dxa"/>
            <w:right w:w="108" w:type="dxa"/>
          </w:tblCellMar>
        </w:tblPrEx>
        <w:trPr>
          <w:trHeight w:val="309" w:hRule="atLeast"/>
        </w:trPr>
        <w:tc>
          <w:tcPr>
            <w:tcW w:w="70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290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87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1"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0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50"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7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70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290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87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1"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0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50"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7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70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290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87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1"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0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50"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7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70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290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87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1"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0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50"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7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70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290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87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1"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0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50"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7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70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290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87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1"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07"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50"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4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72"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13992" w:type="dxa"/>
            <w:gridSpan w:val="10"/>
            <w:tcBorders>
              <w:top w:val="nil"/>
              <w:left w:val="nil"/>
              <w:bottom w:val="nil"/>
              <w:right w:val="nil"/>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注：本表反映部门本年度政府性基金预算财政拨款收入、支出及结转和结余情况。本部门本年度无收支及结转结余情况，按要求以空表列示。</w:t>
            </w:r>
          </w:p>
        </w:tc>
      </w:tr>
      <w:tr>
        <w:tblPrEx>
          <w:tblCellMar>
            <w:top w:w="0" w:type="dxa"/>
            <w:left w:w="108" w:type="dxa"/>
            <w:bottom w:w="0" w:type="dxa"/>
            <w:right w:w="108" w:type="dxa"/>
          </w:tblCellMar>
        </w:tblPrEx>
        <w:trPr>
          <w:trHeight w:val="264" w:hRule="atLeast"/>
        </w:trPr>
        <w:tc>
          <w:tcPr>
            <w:tcW w:w="236" w:type="dxa"/>
            <w:tcBorders>
              <w:top w:val="nil"/>
              <w:left w:val="nil"/>
              <w:bottom w:val="nil"/>
              <w:right w:val="nil"/>
            </w:tcBorders>
            <w:shd w:val="clear" w:color="auto" w:fill="auto"/>
            <w:noWrap/>
            <w:vAlign w:val="bottom"/>
          </w:tcPr>
          <w:p>
            <w:pPr>
              <w:widowControl/>
              <w:spacing w:after="0" w:line="240" w:lineRule="auto"/>
              <w:jc w:val="left"/>
              <w:rPr>
                <w:rFonts w:ascii="宋体" w:hAnsi="宋体" w:cs="Arial"/>
                <w:color w:val="000000"/>
                <w:kern w:val="0"/>
                <w:sz w:val="18"/>
                <w:szCs w:val="18"/>
              </w:rPr>
            </w:pPr>
          </w:p>
        </w:tc>
        <w:tc>
          <w:tcPr>
            <w:tcW w:w="236"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237"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2909"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875"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721"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2107"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850"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349"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472"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r>
      <w:tr>
        <w:tblPrEx>
          <w:tblCellMar>
            <w:top w:w="0" w:type="dxa"/>
            <w:left w:w="108" w:type="dxa"/>
            <w:bottom w:w="0" w:type="dxa"/>
            <w:right w:w="108" w:type="dxa"/>
          </w:tblCellMar>
        </w:tblPrEx>
        <w:trPr>
          <w:trHeight w:val="264" w:hRule="atLeast"/>
        </w:trPr>
        <w:tc>
          <w:tcPr>
            <w:tcW w:w="236"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236"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237"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0462" w:type="dxa"/>
            <w:gridSpan w:val="5"/>
            <w:vMerge w:val="restart"/>
            <w:tcBorders>
              <w:top w:val="nil"/>
              <w:left w:val="nil"/>
              <w:right w:val="nil"/>
            </w:tcBorders>
            <w:shd w:val="clear" w:color="auto" w:fill="auto"/>
            <w:noWrap/>
            <w:vAlign w:val="bottom"/>
          </w:tcPr>
          <w:p>
            <w:pPr>
              <w:widowControl/>
              <w:spacing w:after="0" w:line="240" w:lineRule="auto"/>
              <w:jc w:val="left"/>
              <w:rPr>
                <w:rFonts w:hint="default" w:eastAsia="宋体"/>
                <w:kern w:val="0"/>
                <w:sz w:val="18"/>
                <w:szCs w:val="18"/>
                <w:lang w:val="en-US" w:eastAsia="zh-CN"/>
              </w:rPr>
            </w:pPr>
            <w:r>
              <w:rPr>
                <w:rFonts w:hint="eastAsia" w:ascii="宋体" w:hAnsi="宋体" w:cs="Arial"/>
                <w:color w:val="000000"/>
                <w:kern w:val="0"/>
                <w:sz w:val="18"/>
                <w:szCs w:val="18"/>
              </w:rPr>
              <w:t>注：我部门无政府性基金收入支出</w:t>
            </w:r>
            <w:r>
              <w:rPr>
                <w:rFonts w:hint="eastAsia" w:ascii="宋体" w:hAnsi="宋体" w:cs="Arial"/>
                <w:color w:val="000000"/>
                <w:kern w:val="0"/>
                <w:sz w:val="18"/>
                <w:szCs w:val="18"/>
                <w:lang w:eastAsia="zh-CN"/>
              </w:rPr>
              <w:t>，</w:t>
            </w:r>
            <w:r>
              <w:rPr>
                <w:rFonts w:hint="eastAsia" w:ascii="宋体" w:hAnsi="宋体" w:cs="Arial"/>
                <w:color w:val="000000"/>
                <w:kern w:val="0"/>
                <w:sz w:val="18"/>
                <w:szCs w:val="18"/>
                <w:lang w:val="en-US" w:eastAsia="zh-CN"/>
              </w:rPr>
              <w:t>按要求以空表列示。</w:t>
            </w:r>
          </w:p>
        </w:tc>
        <w:tc>
          <w:tcPr>
            <w:tcW w:w="1349"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472"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r>
      <w:tr>
        <w:tblPrEx>
          <w:tblCellMar>
            <w:top w:w="0" w:type="dxa"/>
            <w:left w:w="108" w:type="dxa"/>
            <w:bottom w:w="0" w:type="dxa"/>
            <w:right w:w="108" w:type="dxa"/>
          </w:tblCellMar>
        </w:tblPrEx>
        <w:trPr>
          <w:trHeight w:val="264" w:hRule="atLeast"/>
        </w:trPr>
        <w:tc>
          <w:tcPr>
            <w:tcW w:w="236"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236"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237"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0462" w:type="dxa"/>
            <w:gridSpan w:val="5"/>
            <w:vMerge w:val="continue"/>
            <w:tcBorders>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349"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472"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r>
      <w:tr>
        <w:tblPrEx>
          <w:tblCellMar>
            <w:top w:w="0" w:type="dxa"/>
            <w:left w:w="108" w:type="dxa"/>
            <w:bottom w:w="0" w:type="dxa"/>
            <w:right w:w="108" w:type="dxa"/>
          </w:tblCellMar>
        </w:tblPrEx>
        <w:trPr>
          <w:trHeight w:val="264" w:hRule="atLeast"/>
        </w:trPr>
        <w:tc>
          <w:tcPr>
            <w:tcW w:w="12520" w:type="dxa"/>
            <w:gridSpan w:val="9"/>
            <w:tcBorders>
              <w:top w:val="nil"/>
              <w:left w:val="nil"/>
              <w:bottom w:val="nil"/>
              <w:right w:val="nil"/>
            </w:tcBorders>
            <w:shd w:val="clear" w:color="auto" w:fill="auto"/>
            <w:noWrap/>
            <w:vAlign w:val="center"/>
          </w:tcPr>
          <w:p>
            <w:pPr>
              <w:widowControl/>
              <w:spacing w:after="0" w:line="240" w:lineRule="auto"/>
              <w:jc w:val="center"/>
              <w:rPr>
                <w:rFonts w:eastAsia="Times New Roman"/>
                <w:kern w:val="0"/>
                <w:sz w:val="18"/>
                <w:szCs w:val="18"/>
              </w:rPr>
            </w:pPr>
            <w:r>
              <w:rPr>
                <w:rFonts w:hint="eastAsia" w:ascii="宋体" w:hAnsi="宋体" w:cs="Arial"/>
                <w:color w:val="000000"/>
                <w:kern w:val="0"/>
                <w:sz w:val="18"/>
                <w:szCs w:val="18"/>
              </w:rPr>
              <w:t>— 8 —</w:t>
            </w:r>
          </w:p>
        </w:tc>
        <w:tc>
          <w:tcPr>
            <w:tcW w:w="1472"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r>
      <w:tr>
        <w:tblPrEx>
          <w:tblCellMar>
            <w:top w:w="0" w:type="dxa"/>
            <w:left w:w="108" w:type="dxa"/>
            <w:bottom w:w="0" w:type="dxa"/>
            <w:right w:w="108" w:type="dxa"/>
          </w:tblCellMar>
        </w:tblPrEx>
        <w:trPr>
          <w:trHeight w:val="264" w:hRule="atLeast"/>
        </w:trPr>
        <w:tc>
          <w:tcPr>
            <w:tcW w:w="236"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236"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237"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2909" w:type="dxa"/>
            <w:tcBorders>
              <w:top w:val="nil"/>
              <w:left w:val="nil"/>
              <w:bottom w:val="nil"/>
              <w:right w:val="nil"/>
            </w:tcBorders>
            <w:shd w:val="clear" w:color="auto" w:fill="auto"/>
            <w:noWrap/>
            <w:vAlign w:val="bottom"/>
          </w:tcPr>
          <w:p>
            <w:pPr>
              <w:widowControl/>
              <w:spacing w:after="0" w:line="240" w:lineRule="auto"/>
              <w:jc w:val="left"/>
              <w:rPr>
                <w:rFonts w:ascii="宋体" w:hAnsi="宋体" w:cs="Arial"/>
                <w:color w:val="000000"/>
                <w:kern w:val="0"/>
                <w:sz w:val="18"/>
                <w:szCs w:val="18"/>
              </w:rPr>
            </w:pPr>
          </w:p>
        </w:tc>
        <w:tc>
          <w:tcPr>
            <w:tcW w:w="1875" w:type="dxa"/>
            <w:tcBorders>
              <w:top w:val="nil"/>
              <w:left w:val="nil"/>
              <w:bottom w:val="nil"/>
              <w:right w:val="nil"/>
            </w:tcBorders>
            <w:shd w:val="clear" w:color="auto" w:fill="auto"/>
            <w:noWrap/>
            <w:vAlign w:val="bottom"/>
          </w:tcPr>
          <w:p>
            <w:pPr>
              <w:widowControl/>
              <w:spacing w:after="0" w:line="240" w:lineRule="auto"/>
              <w:jc w:val="left"/>
              <w:rPr>
                <w:rFonts w:ascii="宋体" w:hAnsi="宋体" w:cs="Arial"/>
                <w:color w:val="000000"/>
                <w:kern w:val="0"/>
                <w:sz w:val="18"/>
                <w:szCs w:val="18"/>
              </w:rPr>
            </w:pPr>
          </w:p>
        </w:tc>
        <w:tc>
          <w:tcPr>
            <w:tcW w:w="1721"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2107"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850"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349"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472"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r>
      <w:tr>
        <w:tblPrEx>
          <w:tblCellMar>
            <w:top w:w="0" w:type="dxa"/>
            <w:left w:w="108" w:type="dxa"/>
            <w:bottom w:w="0" w:type="dxa"/>
            <w:right w:w="108" w:type="dxa"/>
          </w:tblCellMar>
        </w:tblPrEx>
        <w:trPr>
          <w:trHeight w:val="264" w:hRule="atLeast"/>
        </w:trPr>
        <w:tc>
          <w:tcPr>
            <w:tcW w:w="236"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236"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237"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2909"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875"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721"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2107"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850"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349"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472"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r>
    </w:tbl>
    <w:p>
      <w:pPr>
        <w:widowControl/>
        <w:spacing w:after="0" w:line="560" w:lineRule="exact"/>
        <w:ind w:firstLine="562" w:firstLineChars="200"/>
        <w:jc w:val="left"/>
        <w:rPr>
          <w:rFonts w:ascii="仿宋_GB2312" w:hAnsi="宋体" w:eastAsia="仿宋_GB2312"/>
          <w:b/>
          <w:sz w:val="28"/>
          <w:szCs w:val="28"/>
          <w:highlight w:val="yellow"/>
        </w:rPr>
      </w:pPr>
    </w:p>
    <w:p>
      <w:pPr>
        <w:widowControl/>
        <w:spacing w:after="0" w:line="240" w:lineRule="auto"/>
        <w:jc w:val="left"/>
        <w:rPr>
          <w:rFonts w:ascii="仿宋_GB2312" w:hAnsi="宋体" w:eastAsia="仿宋_GB2312"/>
          <w:b/>
          <w:sz w:val="28"/>
          <w:szCs w:val="28"/>
          <w:highlight w:val="yellow"/>
        </w:rPr>
        <w:sectPr>
          <w:pgSz w:w="16838" w:h="11906" w:orient="landscape"/>
          <w:pgMar w:top="2098" w:right="1474" w:bottom="1588" w:left="1588" w:header="851" w:footer="992" w:gutter="0"/>
          <w:cols w:space="0" w:num="1"/>
          <w:docGrid w:linePitch="312" w:charSpace="0"/>
        </w:sectPr>
      </w:pPr>
    </w:p>
    <w:tbl>
      <w:tblPr>
        <w:tblStyle w:val="12"/>
        <w:tblW w:w="8436" w:type="dxa"/>
        <w:tblInd w:w="0" w:type="dxa"/>
        <w:tblLayout w:type="fixed"/>
        <w:tblCellMar>
          <w:top w:w="0" w:type="dxa"/>
          <w:left w:w="108" w:type="dxa"/>
          <w:bottom w:w="0" w:type="dxa"/>
          <w:right w:w="108" w:type="dxa"/>
        </w:tblCellMar>
      </w:tblPr>
      <w:tblGrid>
        <w:gridCol w:w="484"/>
        <w:gridCol w:w="483"/>
        <w:gridCol w:w="486"/>
        <w:gridCol w:w="1869"/>
        <w:gridCol w:w="1891"/>
        <w:gridCol w:w="1559"/>
        <w:gridCol w:w="1664"/>
      </w:tblGrid>
      <w:tr>
        <w:tblPrEx>
          <w:tblCellMar>
            <w:top w:w="0" w:type="dxa"/>
            <w:left w:w="108" w:type="dxa"/>
            <w:bottom w:w="0" w:type="dxa"/>
            <w:right w:w="108" w:type="dxa"/>
          </w:tblCellMar>
        </w:tblPrEx>
        <w:trPr>
          <w:trHeight w:val="384" w:hRule="atLeast"/>
        </w:trPr>
        <w:tc>
          <w:tcPr>
            <w:tcW w:w="8436" w:type="dxa"/>
            <w:gridSpan w:val="7"/>
            <w:tcBorders>
              <w:top w:val="nil"/>
              <w:left w:val="nil"/>
              <w:bottom w:val="nil"/>
              <w:right w:val="nil"/>
            </w:tcBorders>
            <w:shd w:val="clear" w:color="auto" w:fill="auto"/>
            <w:noWrap/>
            <w:vAlign w:val="center"/>
          </w:tcPr>
          <w:p>
            <w:pPr>
              <w:widowControl/>
              <w:spacing w:after="0" w:line="240" w:lineRule="auto"/>
              <w:jc w:val="center"/>
              <w:rPr>
                <w:rFonts w:eastAsia="Times New Roman"/>
                <w:kern w:val="0"/>
                <w:sz w:val="18"/>
                <w:szCs w:val="18"/>
              </w:rPr>
            </w:pPr>
            <w:r>
              <w:rPr>
                <w:rFonts w:hint="eastAsia" w:ascii="宋体" w:hAnsi="宋体" w:cs="Arial"/>
                <w:b/>
                <w:bCs/>
                <w:color w:val="000000"/>
                <w:kern w:val="0"/>
                <w:sz w:val="30"/>
                <w:szCs w:val="30"/>
              </w:rPr>
              <w:t>国有资本经营预算财政拨款支出决算表</w:t>
            </w:r>
          </w:p>
        </w:tc>
      </w:tr>
      <w:tr>
        <w:tblPrEx>
          <w:tblCellMar>
            <w:top w:w="0" w:type="dxa"/>
            <w:left w:w="108" w:type="dxa"/>
            <w:bottom w:w="0" w:type="dxa"/>
            <w:right w:w="108" w:type="dxa"/>
          </w:tblCellMar>
        </w:tblPrEx>
        <w:trPr>
          <w:trHeight w:val="264" w:hRule="atLeast"/>
        </w:trPr>
        <w:tc>
          <w:tcPr>
            <w:tcW w:w="484"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483"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486"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869"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891"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559"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664" w:type="dxa"/>
            <w:tcBorders>
              <w:top w:val="nil"/>
              <w:left w:val="nil"/>
              <w:bottom w:val="nil"/>
              <w:right w:val="nil"/>
            </w:tcBorders>
            <w:shd w:val="clear" w:color="auto" w:fill="auto"/>
            <w:noWrap/>
            <w:vAlign w:val="bottom"/>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公开09表</w:t>
            </w:r>
          </w:p>
        </w:tc>
      </w:tr>
      <w:tr>
        <w:tblPrEx>
          <w:tblCellMar>
            <w:top w:w="0" w:type="dxa"/>
            <w:left w:w="108" w:type="dxa"/>
            <w:bottom w:w="0" w:type="dxa"/>
            <w:right w:w="108" w:type="dxa"/>
          </w:tblCellMar>
        </w:tblPrEx>
        <w:trPr>
          <w:trHeight w:val="264" w:hRule="atLeast"/>
        </w:trPr>
        <w:tc>
          <w:tcPr>
            <w:tcW w:w="5213" w:type="dxa"/>
            <w:gridSpan w:val="5"/>
            <w:tcBorders>
              <w:top w:val="nil"/>
              <w:left w:val="nil"/>
              <w:bottom w:val="nil"/>
              <w:right w:val="nil"/>
            </w:tcBorders>
            <w:shd w:val="clear" w:color="auto" w:fill="auto"/>
            <w:noWrap/>
            <w:vAlign w:val="bottom"/>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编制单位：唐山市环境保护局系统（汇总）</w:t>
            </w:r>
          </w:p>
        </w:tc>
        <w:tc>
          <w:tcPr>
            <w:tcW w:w="1559"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664" w:type="dxa"/>
            <w:tcBorders>
              <w:top w:val="nil"/>
              <w:left w:val="nil"/>
              <w:bottom w:val="nil"/>
              <w:right w:val="nil"/>
            </w:tcBorders>
            <w:shd w:val="clear" w:color="auto" w:fill="auto"/>
            <w:noWrap/>
            <w:vAlign w:val="bottom"/>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金额单位：万元</w:t>
            </w:r>
          </w:p>
        </w:tc>
      </w:tr>
      <w:tr>
        <w:tblPrEx>
          <w:tblCellMar>
            <w:top w:w="0" w:type="dxa"/>
            <w:left w:w="108" w:type="dxa"/>
            <w:bottom w:w="0" w:type="dxa"/>
            <w:right w:w="108" w:type="dxa"/>
          </w:tblCellMar>
        </w:tblPrEx>
        <w:trPr>
          <w:trHeight w:val="309" w:hRule="atLeast"/>
        </w:trPr>
        <w:tc>
          <w:tcPr>
            <w:tcW w:w="3322"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科目</w:t>
            </w:r>
          </w:p>
        </w:tc>
        <w:tc>
          <w:tcPr>
            <w:tcW w:w="5114" w:type="dxa"/>
            <w:gridSpan w:val="3"/>
            <w:tcBorders>
              <w:top w:val="single" w:color="000000" w:sz="4" w:space="0"/>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本年支出</w:t>
            </w:r>
          </w:p>
        </w:tc>
      </w:tr>
      <w:tr>
        <w:tblPrEx>
          <w:tblCellMar>
            <w:top w:w="0" w:type="dxa"/>
            <w:left w:w="108" w:type="dxa"/>
            <w:bottom w:w="0" w:type="dxa"/>
            <w:right w:w="108" w:type="dxa"/>
          </w:tblCellMar>
        </w:tblPrEx>
        <w:trPr>
          <w:trHeight w:val="555" w:hRule="atLeast"/>
        </w:trPr>
        <w:tc>
          <w:tcPr>
            <w:tcW w:w="1453" w:type="dxa"/>
            <w:gridSpan w:val="3"/>
            <w:tcBorders>
              <w:top w:val="nil"/>
              <w:left w:val="single" w:color="000000" w:sz="4" w:space="0"/>
              <w:bottom w:val="single" w:color="000000" w:sz="4" w:space="0"/>
              <w:right w:val="single" w:color="000000" w:sz="4" w:space="0"/>
            </w:tcBorders>
            <w:shd w:val="clear" w:color="FFFFFF" w:fill="C0C0C0"/>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功能分类科目编码</w:t>
            </w:r>
          </w:p>
        </w:tc>
        <w:tc>
          <w:tcPr>
            <w:tcW w:w="1869"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科目名称</w:t>
            </w:r>
          </w:p>
        </w:tc>
        <w:tc>
          <w:tcPr>
            <w:tcW w:w="1891"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小计</w:t>
            </w:r>
          </w:p>
        </w:tc>
        <w:tc>
          <w:tcPr>
            <w:tcW w:w="1559"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基本支出</w:t>
            </w:r>
          </w:p>
        </w:tc>
        <w:tc>
          <w:tcPr>
            <w:tcW w:w="1664"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项目支出</w:t>
            </w:r>
          </w:p>
        </w:tc>
      </w:tr>
      <w:tr>
        <w:tblPrEx>
          <w:tblCellMar>
            <w:top w:w="0" w:type="dxa"/>
            <w:left w:w="108" w:type="dxa"/>
            <w:bottom w:w="0" w:type="dxa"/>
            <w:right w:w="108" w:type="dxa"/>
          </w:tblCellMar>
        </w:tblPrEx>
        <w:trPr>
          <w:trHeight w:val="309" w:hRule="atLeast"/>
        </w:trPr>
        <w:tc>
          <w:tcPr>
            <w:tcW w:w="3322"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1891"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559"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664"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3</w:t>
            </w:r>
          </w:p>
        </w:tc>
      </w:tr>
      <w:tr>
        <w:tblPrEx>
          <w:tblCellMar>
            <w:top w:w="0" w:type="dxa"/>
            <w:left w:w="108" w:type="dxa"/>
            <w:bottom w:w="0" w:type="dxa"/>
            <w:right w:w="108" w:type="dxa"/>
          </w:tblCellMar>
        </w:tblPrEx>
        <w:trPr>
          <w:trHeight w:val="309" w:hRule="atLeast"/>
        </w:trPr>
        <w:tc>
          <w:tcPr>
            <w:tcW w:w="3322"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1891"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p>
        </w:tc>
        <w:tc>
          <w:tcPr>
            <w:tcW w:w="155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p>
        </w:tc>
        <w:tc>
          <w:tcPr>
            <w:tcW w:w="166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309" w:hRule="atLeast"/>
        </w:trPr>
        <w:tc>
          <w:tcPr>
            <w:tcW w:w="145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86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891"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5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66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145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86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891"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5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66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145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86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891"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5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66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145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86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891"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5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66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145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86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891"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5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66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145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86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891"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59"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66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585" w:hRule="atLeast"/>
        </w:trPr>
        <w:tc>
          <w:tcPr>
            <w:tcW w:w="8436" w:type="dxa"/>
            <w:gridSpan w:val="7"/>
            <w:tcBorders>
              <w:top w:val="nil"/>
              <w:left w:val="nil"/>
              <w:bottom w:val="nil"/>
              <w:right w:val="nil"/>
            </w:tcBorders>
            <w:shd w:val="clear" w:color="auto" w:fill="auto"/>
            <w:vAlign w:val="center"/>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注：本表反映部门本年度国有资本经营预算财政拨款支出情况。本部门本年度无相关支出情况，按要求以空表列示。</w:t>
            </w:r>
          </w:p>
        </w:tc>
      </w:tr>
      <w:tr>
        <w:tblPrEx>
          <w:tblCellMar>
            <w:top w:w="0" w:type="dxa"/>
            <w:left w:w="108" w:type="dxa"/>
            <w:bottom w:w="0" w:type="dxa"/>
            <w:right w:w="108" w:type="dxa"/>
          </w:tblCellMar>
        </w:tblPrEx>
        <w:trPr>
          <w:trHeight w:val="264" w:hRule="atLeast"/>
        </w:trPr>
        <w:tc>
          <w:tcPr>
            <w:tcW w:w="6772" w:type="dxa"/>
            <w:gridSpan w:val="6"/>
            <w:tcBorders>
              <w:top w:val="nil"/>
              <w:left w:val="nil"/>
              <w:bottom w:val="nil"/>
              <w:right w:val="nil"/>
            </w:tcBorders>
            <w:shd w:val="clear" w:color="auto" w:fill="auto"/>
            <w:noWrap/>
            <w:vAlign w:val="bottom"/>
          </w:tcPr>
          <w:p>
            <w:pPr>
              <w:widowControl/>
              <w:spacing w:after="0" w:line="240" w:lineRule="auto"/>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rPr>
              <w:t>注：我部门无国有资本经营收入支出</w:t>
            </w:r>
            <w:r>
              <w:rPr>
                <w:rFonts w:hint="eastAsia" w:ascii="宋体" w:hAnsi="宋体" w:cs="Arial"/>
                <w:color w:val="000000"/>
                <w:kern w:val="0"/>
                <w:sz w:val="18"/>
                <w:szCs w:val="18"/>
                <w:lang w:eastAsia="zh-CN"/>
              </w:rPr>
              <w:t>，</w:t>
            </w:r>
            <w:r>
              <w:rPr>
                <w:rFonts w:hint="eastAsia" w:ascii="宋体" w:hAnsi="宋体" w:cs="Arial"/>
                <w:color w:val="000000"/>
                <w:kern w:val="0"/>
                <w:sz w:val="18"/>
                <w:szCs w:val="18"/>
                <w:lang w:val="en-US" w:eastAsia="zh-CN"/>
              </w:rPr>
              <w:t>按要求以空表列示。</w:t>
            </w:r>
          </w:p>
        </w:tc>
        <w:tc>
          <w:tcPr>
            <w:tcW w:w="1664"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r>
    </w:tbl>
    <w:p>
      <w:pPr>
        <w:widowControl/>
        <w:spacing w:after="0" w:line="560" w:lineRule="exact"/>
        <w:ind w:firstLine="360" w:firstLineChars="200"/>
        <w:jc w:val="center"/>
        <w:rPr>
          <w:rFonts w:ascii="仿宋_GB2312" w:hAnsi="宋体" w:eastAsia="仿宋_GB2312"/>
          <w:b/>
          <w:sz w:val="28"/>
          <w:szCs w:val="28"/>
          <w:highlight w:val="yellow"/>
        </w:rPr>
      </w:pPr>
      <w:r>
        <w:rPr>
          <w:rFonts w:hint="eastAsia" w:ascii="宋体" w:hAnsi="宋体" w:cs="Arial"/>
          <w:color w:val="000000"/>
          <w:kern w:val="0"/>
          <w:sz w:val="18"/>
          <w:szCs w:val="18"/>
        </w:rPr>
        <w:t>— 9 —</w:t>
      </w:r>
    </w:p>
    <w:p>
      <w:pPr>
        <w:widowControl/>
        <w:spacing w:after="0" w:line="560" w:lineRule="exact"/>
        <w:ind w:firstLine="562" w:firstLineChars="200"/>
        <w:jc w:val="left"/>
        <w:rPr>
          <w:rFonts w:ascii="仿宋_GB2312" w:hAnsi="宋体" w:eastAsia="仿宋_GB2312"/>
          <w:b/>
          <w:sz w:val="28"/>
          <w:szCs w:val="28"/>
          <w:highlight w:val="yellow"/>
        </w:rPr>
      </w:pPr>
    </w:p>
    <w:p>
      <w:pPr>
        <w:widowControl/>
        <w:spacing w:after="0" w:line="560" w:lineRule="exact"/>
        <w:ind w:firstLine="562" w:firstLineChars="200"/>
        <w:jc w:val="left"/>
        <w:rPr>
          <w:rFonts w:ascii="仿宋_GB2312" w:hAnsi="宋体" w:eastAsia="仿宋_GB2312"/>
          <w:b/>
          <w:sz w:val="28"/>
          <w:szCs w:val="28"/>
          <w:highlight w:val="yellow"/>
        </w:rPr>
      </w:pPr>
    </w:p>
    <w:p>
      <w:pPr>
        <w:widowControl/>
        <w:spacing w:after="0" w:line="560" w:lineRule="exact"/>
        <w:ind w:firstLine="562" w:firstLineChars="200"/>
        <w:jc w:val="left"/>
        <w:rPr>
          <w:rFonts w:ascii="仿宋_GB2312" w:hAnsi="宋体" w:eastAsia="仿宋_GB2312"/>
          <w:b/>
          <w:sz w:val="28"/>
          <w:szCs w:val="28"/>
          <w:highlight w:val="yellow"/>
        </w:rPr>
      </w:pPr>
    </w:p>
    <w:p>
      <w:pPr>
        <w:widowControl/>
        <w:spacing w:after="0" w:line="560" w:lineRule="exact"/>
        <w:ind w:firstLine="562" w:firstLineChars="200"/>
        <w:jc w:val="left"/>
        <w:rPr>
          <w:rFonts w:ascii="仿宋_GB2312" w:hAnsi="宋体" w:eastAsia="仿宋_GB2312"/>
          <w:b/>
          <w:sz w:val="28"/>
          <w:szCs w:val="28"/>
          <w:highlight w:val="yellow"/>
        </w:rPr>
      </w:pPr>
    </w:p>
    <w:p>
      <w:pPr>
        <w:widowControl/>
        <w:spacing w:after="0" w:line="560" w:lineRule="exact"/>
        <w:ind w:firstLine="562" w:firstLineChars="200"/>
        <w:jc w:val="left"/>
        <w:rPr>
          <w:rFonts w:ascii="仿宋_GB2312" w:hAnsi="宋体" w:eastAsia="仿宋_GB2312"/>
          <w:b/>
          <w:sz w:val="28"/>
          <w:szCs w:val="28"/>
          <w:highlight w:val="yellow"/>
        </w:rPr>
      </w:pPr>
    </w:p>
    <w:p>
      <w:pPr>
        <w:widowControl/>
        <w:spacing w:after="0" w:line="560" w:lineRule="exact"/>
        <w:ind w:firstLine="562" w:firstLineChars="200"/>
        <w:jc w:val="left"/>
        <w:rPr>
          <w:rFonts w:ascii="仿宋_GB2312" w:hAnsi="宋体" w:eastAsia="仿宋_GB2312"/>
          <w:b/>
          <w:sz w:val="28"/>
          <w:szCs w:val="28"/>
          <w:highlight w:val="yellow"/>
        </w:rPr>
      </w:pPr>
    </w:p>
    <w:p>
      <w:pPr>
        <w:widowControl/>
        <w:spacing w:after="0" w:line="560" w:lineRule="exact"/>
        <w:jc w:val="left"/>
        <w:rPr>
          <w:rFonts w:ascii="仿宋_GB2312" w:hAnsi="宋体" w:eastAsiaTheme="minorEastAsia"/>
          <w:b/>
          <w:sz w:val="28"/>
          <w:szCs w:val="28"/>
          <w:highlight w:val="yellow"/>
        </w:rPr>
      </w:pPr>
    </w:p>
    <w:p>
      <w:pPr>
        <w:widowControl/>
        <w:spacing w:after="0" w:line="560" w:lineRule="exact"/>
        <w:jc w:val="left"/>
        <w:rPr>
          <w:rFonts w:ascii="仿宋_GB2312" w:hAnsi="宋体" w:eastAsiaTheme="minorEastAsia"/>
          <w:b/>
          <w:sz w:val="28"/>
          <w:szCs w:val="28"/>
          <w:highlight w:val="yellow"/>
        </w:rPr>
      </w:pPr>
    </w:p>
    <w:p>
      <w:pPr>
        <w:widowControl/>
        <w:spacing w:after="0" w:line="560" w:lineRule="exact"/>
        <w:jc w:val="left"/>
        <w:rPr>
          <w:rFonts w:ascii="仿宋_GB2312" w:hAnsi="宋体" w:eastAsiaTheme="minorEastAsia"/>
          <w:b/>
          <w:sz w:val="28"/>
          <w:szCs w:val="28"/>
          <w:highlight w:val="yellow"/>
        </w:rPr>
      </w:pPr>
    </w:p>
    <w:p>
      <w:pPr>
        <w:widowControl/>
        <w:spacing w:after="0" w:line="560" w:lineRule="exact"/>
        <w:jc w:val="left"/>
        <w:rPr>
          <w:rFonts w:ascii="仿宋_GB2312" w:hAnsi="宋体" w:eastAsiaTheme="minorEastAsia"/>
          <w:b/>
          <w:sz w:val="28"/>
          <w:szCs w:val="28"/>
          <w:highlight w:val="yellow"/>
        </w:rPr>
      </w:pPr>
    </w:p>
    <w:p>
      <w:pPr>
        <w:widowControl/>
        <w:spacing w:after="0" w:line="560" w:lineRule="exact"/>
        <w:jc w:val="left"/>
        <w:rPr>
          <w:rFonts w:ascii="仿宋_GB2312" w:hAnsi="宋体" w:eastAsiaTheme="minorEastAsia"/>
          <w:b/>
          <w:sz w:val="28"/>
          <w:szCs w:val="28"/>
          <w:highlight w:val="yellow"/>
        </w:rPr>
      </w:pPr>
    </w:p>
    <w:p>
      <w:pPr>
        <w:widowControl/>
        <w:spacing w:after="0" w:line="560" w:lineRule="exact"/>
        <w:jc w:val="left"/>
        <w:rPr>
          <w:rFonts w:ascii="仿宋_GB2312" w:hAnsi="宋体" w:eastAsiaTheme="minorEastAsia"/>
          <w:b/>
          <w:sz w:val="28"/>
          <w:szCs w:val="28"/>
          <w:highlight w:val="yellow"/>
        </w:rPr>
        <w:sectPr>
          <w:pgSz w:w="11906" w:h="16838"/>
          <w:pgMar w:top="1588" w:right="2098" w:bottom="1474" w:left="1588" w:header="851" w:footer="992" w:gutter="0"/>
          <w:cols w:space="0" w:num="1"/>
          <w:docGrid w:linePitch="312" w:charSpace="0"/>
        </w:sectPr>
      </w:pPr>
    </w:p>
    <w:tbl>
      <w:tblPr>
        <w:tblStyle w:val="12"/>
        <w:tblW w:w="13992" w:type="dxa"/>
        <w:tblInd w:w="0" w:type="dxa"/>
        <w:tblLayout w:type="fixed"/>
        <w:tblCellMar>
          <w:top w:w="0" w:type="dxa"/>
          <w:left w:w="108" w:type="dxa"/>
          <w:bottom w:w="0" w:type="dxa"/>
          <w:right w:w="108" w:type="dxa"/>
        </w:tblCellMar>
      </w:tblPr>
      <w:tblGrid>
        <w:gridCol w:w="2600"/>
        <w:gridCol w:w="2044"/>
        <w:gridCol w:w="1843"/>
        <w:gridCol w:w="1843"/>
        <w:gridCol w:w="1984"/>
        <w:gridCol w:w="1985"/>
        <w:gridCol w:w="1693"/>
      </w:tblGrid>
      <w:tr>
        <w:tblPrEx>
          <w:tblCellMar>
            <w:top w:w="0" w:type="dxa"/>
            <w:left w:w="108" w:type="dxa"/>
            <w:bottom w:w="0" w:type="dxa"/>
            <w:right w:w="108" w:type="dxa"/>
          </w:tblCellMar>
        </w:tblPrEx>
        <w:trPr>
          <w:trHeight w:val="384" w:hRule="atLeast"/>
        </w:trPr>
        <w:tc>
          <w:tcPr>
            <w:tcW w:w="13992" w:type="dxa"/>
            <w:gridSpan w:val="7"/>
            <w:tcBorders>
              <w:top w:val="nil"/>
              <w:left w:val="nil"/>
              <w:bottom w:val="nil"/>
              <w:right w:val="nil"/>
            </w:tcBorders>
            <w:shd w:val="clear" w:color="auto" w:fill="auto"/>
            <w:noWrap/>
            <w:vAlign w:val="center"/>
          </w:tcPr>
          <w:p>
            <w:pPr>
              <w:widowControl/>
              <w:spacing w:after="0" w:line="240" w:lineRule="auto"/>
              <w:jc w:val="center"/>
              <w:rPr>
                <w:rFonts w:eastAsia="Times New Roman"/>
                <w:b/>
                <w:bCs/>
                <w:kern w:val="0"/>
                <w:sz w:val="18"/>
                <w:szCs w:val="18"/>
              </w:rPr>
            </w:pPr>
            <w:r>
              <w:rPr>
                <w:rFonts w:hint="eastAsia" w:ascii="宋体" w:hAnsi="宋体" w:cs="Arial"/>
                <w:b/>
                <w:bCs/>
                <w:color w:val="000000"/>
                <w:kern w:val="0"/>
                <w:sz w:val="30"/>
                <w:szCs w:val="30"/>
              </w:rPr>
              <w:t>政府采购情况表</w:t>
            </w:r>
          </w:p>
        </w:tc>
      </w:tr>
      <w:tr>
        <w:tblPrEx>
          <w:tblCellMar>
            <w:top w:w="0" w:type="dxa"/>
            <w:left w:w="108" w:type="dxa"/>
            <w:bottom w:w="0" w:type="dxa"/>
            <w:right w:w="108" w:type="dxa"/>
          </w:tblCellMar>
        </w:tblPrEx>
        <w:trPr>
          <w:trHeight w:val="264" w:hRule="atLeast"/>
        </w:trPr>
        <w:tc>
          <w:tcPr>
            <w:tcW w:w="2600"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2044"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843"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843"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984"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985"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693" w:type="dxa"/>
            <w:tcBorders>
              <w:top w:val="nil"/>
              <w:left w:val="nil"/>
              <w:bottom w:val="nil"/>
              <w:right w:val="nil"/>
            </w:tcBorders>
            <w:shd w:val="clear" w:color="auto" w:fill="auto"/>
            <w:noWrap/>
            <w:vAlign w:val="bottom"/>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公开10表</w:t>
            </w:r>
          </w:p>
        </w:tc>
      </w:tr>
      <w:tr>
        <w:tblPrEx>
          <w:tblCellMar>
            <w:top w:w="0" w:type="dxa"/>
            <w:left w:w="108" w:type="dxa"/>
            <w:bottom w:w="0" w:type="dxa"/>
            <w:right w:w="108" w:type="dxa"/>
          </w:tblCellMar>
        </w:tblPrEx>
        <w:trPr>
          <w:trHeight w:val="264" w:hRule="atLeast"/>
        </w:trPr>
        <w:tc>
          <w:tcPr>
            <w:tcW w:w="4644" w:type="dxa"/>
            <w:gridSpan w:val="2"/>
            <w:tcBorders>
              <w:top w:val="nil"/>
              <w:left w:val="nil"/>
              <w:bottom w:val="nil"/>
              <w:right w:val="nil"/>
            </w:tcBorders>
            <w:shd w:val="clear" w:color="auto" w:fill="auto"/>
            <w:noWrap/>
            <w:vAlign w:val="bottom"/>
          </w:tcPr>
          <w:p>
            <w:pPr>
              <w:widowControl/>
              <w:spacing w:after="0" w:line="240" w:lineRule="auto"/>
              <w:jc w:val="left"/>
              <w:rPr>
                <w:rFonts w:ascii="宋体" w:hAnsi="宋体" w:cs="Arial"/>
                <w:color w:val="000000"/>
                <w:kern w:val="0"/>
                <w:sz w:val="18"/>
                <w:szCs w:val="18"/>
              </w:rPr>
            </w:pPr>
            <w:r>
              <w:rPr>
                <w:rFonts w:hint="eastAsia" w:ascii="宋体" w:hAnsi="宋体" w:cs="Arial"/>
                <w:color w:val="000000"/>
                <w:kern w:val="0"/>
                <w:sz w:val="18"/>
                <w:szCs w:val="18"/>
              </w:rPr>
              <w:t>编制单位：唐山市环境保护局系统（汇总）</w:t>
            </w:r>
          </w:p>
        </w:tc>
        <w:tc>
          <w:tcPr>
            <w:tcW w:w="1843" w:type="dxa"/>
            <w:tcBorders>
              <w:top w:val="nil"/>
              <w:left w:val="nil"/>
              <w:bottom w:val="nil"/>
              <w:right w:val="nil"/>
            </w:tcBorders>
            <w:shd w:val="clear" w:color="auto" w:fill="auto"/>
            <w:noWrap/>
            <w:vAlign w:val="bottom"/>
          </w:tcPr>
          <w:p>
            <w:pPr>
              <w:widowControl/>
              <w:spacing w:after="0" w:line="240" w:lineRule="auto"/>
              <w:jc w:val="left"/>
              <w:rPr>
                <w:rFonts w:ascii="宋体" w:hAnsi="宋体" w:cs="Arial"/>
                <w:color w:val="000000"/>
                <w:kern w:val="0"/>
                <w:sz w:val="18"/>
                <w:szCs w:val="18"/>
              </w:rPr>
            </w:pPr>
          </w:p>
        </w:tc>
        <w:tc>
          <w:tcPr>
            <w:tcW w:w="1843"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984"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985"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693" w:type="dxa"/>
            <w:tcBorders>
              <w:top w:val="nil"/>
              <w:left w:val="nil"/>
              <w:bottom w:val="nil"/>
              <w:right w:val="nil"/>
            </w:tcBorders>
            <w:shd w:val="clear" w:color="auto" w:fill="auto"/>
            <w:noWrap/>
            <w:vAlign w:val="bottom"/>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金额单位：万元</w:t>
            </w:r>
          </w:p>
        </w:tc>
      </w:tr>
      <w:tr>
        <w:tblPrEx>
          <w:tblCellMar>
            <w:top w:w="0" w:type="dxa"/>
            <w:left w:w="108" w:type="dxa"/>
            <w:bottom w:w="0" w:type="dxa"/>
            <w:right w:w="108" w:type="dxa"/>
          </w:tblCellMar>
        </w:tblPrEx>
        <w:trPr>
          <w:trHeight w:val="309" w:hRule="atLeast"/>
        </w:trPr>
        <w:tc>
          <w:tcPr>
            <w:tcW w:w="2600" w:type="dxa"/>
            <w:vMerge w:val="restart"/>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11392" w:type="dxa"/>
            <w:gridSpan w:val="6"/>
            <w:tcBorders>
              <w:top w:val="single" w:color="000000" w:sz="4" w:space="0"/>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采购计划金额</w:t>
            </w:r>
          </w:p>
        </w:tc>
      </w:tr>
      <w:tr>
        <w:tblPrEx>
          <w:tblCellMar>
            <w:top w:w="0" w:type="dxa"/>
            <w:left w:w="108" w:type="dxa"/>
            <w:bottom w:w="0" w:type="dxa"/>
            <w:right w:w="108" w:type="dxa"/>
          </w:tblCellMar>
        </w:tblPrEx>
        <w:trPr>
          <w:trHeight w:val="309" w:hRule="atLeast"/>
        </w:trPr>
        <w:tc>
          <w:tcPr>
            <w:tcW w:w="260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2044" w:type="dxa"/>
            <w:vMerge w:val="restart"/>
            <w:tcBorders>
              <w:top w:val="nil"/>
              <w:left w:val="nil"/>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总计</w:t>
            </w:r>
          </w:p>
          <w:p>
            <w:pPr>
              <w:spacing w:after="0" w:line="240" w:lineRule="auto"/>
              <w:jc w:val="center"/>
              <w:rPr>
                <w:rFonts w:ascii="宋体" w:hAnsi="宋体" w:cs="Arial"/>
                <w:color w:val="000000"/>
                <w:kern w:val="0"/>
                <w:sz w:val="18"/>
                <w:szCs w:val="18"/>
              </w:rPr>
            </w:pPr>
          </w:p>
        </w:tc>
        <w:tc>
          <w:tcPr>
            <w:tcW w:w="7655" w:type="dxa"/>
            <w:gridSpan w:val="4"/>
            <w:tcBorders>
              <w:top w:val="single" w:color="000000" w:sz="4" w:space="0"/>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采购预算（财政性资金）</w:t>
            </w:r>
          </w:p>
        </w:tc>
        <w:tc>
          <w:tcPr>
            <w:tcW w:w="1693"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非财政性资金</w:t>
            </w:r>
          </w:p>
        </w:tc>
      </w:tr>
      <w:tr>
        <w:tblPrEx>
          <w:tblCellMar>
            <w:top w:w="0" w:type="dxa"/>
            <w:left w:w="108" w:type="dxa"/>
            <w:bottom w:w="0" w:type="dxa"/>
            <w:right w:w="108" w:type="dxa"/>
          </w:tblCellMar>
        </w:tblPrEx>
        <w:trPr>
          <w:trHeight w:val="309" w:hRule="atLeast"/>
        </w:trPr>
        <w:tc>
          <w:tcPr>
            <w:tcW w:w="260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2044" w:type="dxa"/>
            <w:vMerge w:val="continue"/>
            <w:tcBorders>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p>
        </w:tc>
        <w:tc>
          <w:tcPr>
            <w:tcW w:w="1843"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1843"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一般公共预算</w:t>
            </w:r>
          </w:p>
        </w:tc>
        <w:tc>
          <w:tcPr>
            <w:tcW w:w="1984"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政府性基金预算</w:t>
            </w:r>
          </w:p>
        </w:tc>
        <w:tc>
          <w:tcPr>
            <w:tcW w:w="1985"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其他资金</w:t>
            </w:r>
          </w:p>
        </w:tc>
        <w:tc>
          <w:tcPr>
            <w:tcW w:w="1693"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2600"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2044"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843"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843"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984"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985"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693"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6</w:t>
            </w:r>
          </w:p>
        </w:tc>
      </w:tr>
      <w:tr>
        <w:tblPrEx>
          <w:tblCellMar>
            <w:top w:w="0" w:type="dxa"/>
            <w:left w:w="108" w:type="dxa"/>
            <w:bottom w:w="0" w:type="dxa"/>
            <w:right w:w="108" w:type="dxa"/>
          </w:tblCellMar>
        </w:tblPrEx>
        <w:trPr>
          <w:trHeight w:val="309" w:hRule="atLeast"/>
        </w:trPr>
        <w:tc>
          <w:tcPr>
            <w:tcW w:w="2600"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合       计</w:t>
            </w:r>
          </w:p>
        </w:tc>
        <w:tc>
          <w:tcPr>
            <w:tcW w:w="204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10,388.10</w:t>
            </w:r>
          </w:p>
        </w:tc>
        <w:tc>
          <w:tcPr>
            <w:tcW w:w="184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10,388.10</w:t>
            </w:r>
          </w:p>
        </w:tc>
        <w:tc>
          <w:tcPr>
            <w:tcW w:w="184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10,388.10</w:t>
            </w:r>
          </w:p>
        </w:tc>
        <w:tc>
          <w:tcPr>
            <w:tcW w:w="198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8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69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2600"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货物</w:t>
            </w:r>
          </w:p>
        </w:tc>
        <w:tc>
          <w:tcPr>
            <w:tcW w:w="204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81.50</w:t>
            </w:r>
          </w:p>
        </w:tc>
        <w:tc>
          <w:tcPr>
            <w:tcW w:w="184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81.50</w:t>
            </w:r>
          </w:p>
        </w:tc>
        <w:tc>
          <w:tcPr>
            <w:tcW w:w="184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81.50</w:t>
            </w:r>
          </w:p>
        </w:tc>
        <w:tc>
          <w:tcPr>
            <w:tcW w:w="198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8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69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2600"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工程</w:t>
            </w:r>
          </w:p>
        </w:tc>
        <w:tc>
          <w:tcPr>
            <w:tcW w:w="204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8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8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69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2600"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服务</w:t>
            </w:r>
          </w:p>
        </w:tc>
        <w:tc>
          <w:tcPr>
            <w:tcW w:w="204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10,306.60</w:t>
            </w:r>
          </w:p>
        </w:tc>
        <w:tc>
          <w:tcPr>
            <w:tcW w:w="184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10,306.60</w:t>
            </w:r>
          </w:p>
        </w:tc>
        <w:tc>
          <w:tcPr>
            <w:tcW w:w="184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10,306.60</w:t>
            </w:r>
          </w:p>
        </w:tc>
        <w:tc>
          <w:tcPr>
            <w:tcW w:w="198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8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69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2600" w:type="dxa"/>
            <w:vMerge w:val="restart"/>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11392" w:type="dxa"/>
            <w:gridSpan w:val="6"/>
            <w:tcBorders>
              <w:top w:val="single" w:color="000000" w:sz="4" w:space="0"/>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实际采购金额</w:t>
            </w:r>
          </w:p>
        </w:tc>
      </w:tr>
      <w:tr>
        <w:tblPrEx>
          <w:tblCellMar>
            <w:top w:w="0" w:type="dxa"/>
            <w:left w:w="108" w:type="dxa"/>
            <w:bottom w:w="0" w:type="dxa"/>
            <w:right w:w="108" w:type="dxa"/>
          </w:tblCellMar>
        </w:tblPrEx>
        <w:trPr>
          <w:trHeight w:val="309" w:hRule="atLeast"/>
        </w:trPr>
        <w:tc>
          <w:tcPr>
            <w:tcW w:w="260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2044" w:type="dxa"/>
            <w:vMerge w:val="restart"/>
            <w:tcBorders>
              <w:top w:val="nil"/>
              <w:left w:val="nil"/>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总计</w:t>
            </w:r>
          </w:p>
          <w:p>
            <w:pPr>
              <w:spacing w:after="0" w:line="240" w:lineRule="auto"/>
              <w:jc w:val="center"/>
              <w:rPr>
                <w:rFonts w:ascii="宋体" w:hAnsi="宋体" w:cs="Arial"/>
                <w:color w:val="000000"/>
                <w:kern w:val="0"/>
                <w:sz w:val="18"/>
                <w:szCs w:val="18"/>
              </w:rPr>
            </w:pPr>
          </w:p>
        </w:tc>
        <w:tc>
          <w:tcPr>
            <w:tcW w:w="7655" w:type="dxa"/>
            <w:gridSpan w:val="4"/>
            <w:tcBorders>
              <w:top w:val="single" w:color="000000" w:sz="4" w:space="0"/>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采购预算（财政性资金）</w:t>
            </w:r>
          </w:p>
        </w:tc>
        <w:tc>
          <w:tcPr>
            <w:tcW w:w="1693"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非财政性资金</w:t>
            </w:r>
          </w:p>
        </w:tc>
      </w:tr>
      <w:tr>
        <w:tblPrEx>
          <w:tblCellMar>
            <w:top w:w="0" w:type="dxa"/>
            <w:left w:w="108" w:type="dxa"/>
            <w:bottom w:w="0" w:type="dxa"/>
            <w:right w:w="108" w:type="dxa"/>
          </w:tblCellMar>
        </w:tblPrEx>
        <w:trPr>
          <w:trHeight w:val="309" w:hRule="atLeast"/>
        </w:trPr>
        <w:tc>
          <w:tcPr>
            <w:tcW w:w="260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Arial"/>
                <w:color w:val="000000"/>
                <w:kern w:val="0"/>
                <w:sz w:val="18"/>
                <w:szCs w:val="18"/>
              </w:rPr>
            </w:pPr>
          </w:p>
        </w:tc>
        <w:tc>
          <w:tcPr>
            <w:tcW w:w="2044" w:type="dxa"/>
            <w:vMerge w:val="continue"/>
            <w:tcBorders>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p>
        </w:tc>
        <w:tc>
          <w:tcPr>
            <w:tcW w:w="1843"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1843"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一般公共预算</w:t>
            </w:r>
          </w:p>
        </w:tc>
        <w:tc>
          <w:tcPr>
            <w:tcW w:w="1984"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政府性基金预算</w:t>
            </w:r>
          </w:p>
        </w:tc>
        <w:tc>
          <w:tcPr>
            <w:tcW w:w="1985"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其他资金</w:t>
            </w:r>
          </w:p>
        </w:tc>
        <w:tc>
          <w:tcPr>
            <w:tcW w:w="1693"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2600"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2044"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843"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843"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984"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985"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693" w:type="dxa"/>
            <w:tcBorders>
              <w:top w:val="nil"/>
              <w:left w:val="nil"/>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12</w:t>
            </w:r>
          </w:p>
        </w:tc>
      </w:tr>
      <w:tr>
        <w:tblPrEx>
          <w:tblCellMar>
            <w:top w:w="0" w:type="dxa"/>
            <w:left w:w="108" w:type="dxa"/>
            <w:bottom w:w="0" w:type="dxa"/>
            <w:right w:w="108" w:type="dxa"/>
          </w:tblCellMar>
        </w:tblPrEx>
        <w:trPr>
          <w:trHeight w:val="309" w:hRule="atLeast"/>
        </w:trPr>
        <w:tc>
          <w:tcPr>
            <w:tcW w:w="2600"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合       计</w:t>
            </w:r>
          </w:p>
        </w:tc>
        <w:tc>
          <w:tcPr>
            <w:tcW w:w="204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9,372.98</w:t>
            </w:r>
          </w:p>
        </w:tc>
        <w:tc>
          <w:tcPr>
            <w:tcW w:w="184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9,372.98</w:t>
            </w:r>
          </w:p>
        </w:tc>
        <w:tc>
          <w:tcPr>
            <w:tcW w:w="184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9,372.98</w:t>
            </w:r>
          </w:p>
        </w:tc>
        <w:tc>
          <w:tcPr>
            <w:tcW w:w="198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8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69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2600"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货物</w:t>
            </w:r>
          </w:p>
        </w:tc>
        <w:tc>
          <w:tcPr>
            <w:tcW w:w="204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78.30</w:t>
            </w:r>
          </w:p>
        </w:tc>
        <w:tc>
          <w:tcPr>
            <w:tcW w:w="184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78.30</w:t>
            </w:r>
          </w:p>
        </w:tc>
        <w:tc>
          <w:tcPr>
            <w:tcW w:w="184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78.30</w:t>
            </w:r>
          </w:p>
        </w:tc>
        <w:tc>
          <w:tcPr>
            <w:tcW w:w="198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8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69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2600"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工程</w:t>
            </w:r>
          </w:p>
        </w:tc>
        <w:tc>
          <w:tcPr>
            <w:tcW w:w="204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8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8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69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2600" w:type="dxa"/>
            <w:tcBorders>
              <w:top w:val="nil"/>
              <w:left w:val="single" w:color="000000" w:sz="4" w:space="0"/>
              <w:bottom w:val="single" w:color="000000" w:sz="4" w:space="0"/>
              <w:right w:val="single" w:color="000000" w:sz="4" w:space="0"/>
            </w:tcBorders>
            <w:shd w:val="clear" w:color="FFFFFF" w:fill="C0C0C0"/>
            <w:noWrap/>
            <w:vAlign w:val="center"/>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服务</w:t>
            </w:r>
          </w:p>
        </w:tc>
        <w:tc>
          <w:tcPr>
            <w:tcW w:w="204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9,294.68</w:t>
            </w:r>
          </w:p>
        </w:tc>
        <w:tc>
          <w:tcPr>
            <w:tcW w:w="184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9,294.68</w:t>
            </w:r>
          </w:p>
        </w:tc>
        <w:tc>
          <w:tcPr>
            <w:tcW w:w="184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9,294.68</w:t>
            </w:r>
          </w:p>
        </w:tc>
        <w:tc>
          <w:tcPr>
            <w:tcW w:w="1984"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85"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693" w:type="dxa"/>
            <w:tcBorders>
              <w:top w:val="nil"/>
              <w:left w:val="nil"/>
              <w:bottom w:val="single" w:color="000000" w:sz="4" w:space="0"/>
              <w:right w:val="single" w:color="000000" w:sz="4" w:space="0"/>
            </w:tcBorders>
            <w:shd w:val="clear" w:color="auto" w:fill="auto"/>
            <w:noWrap/>
            <w:vAlign w:val="center"/>
          </w:tcPr>
          <w:p>
            <w:pPr>
              <w:widowControl/>
              <w:spacing w:after="0" w:line="240" w:lineRule="auto"/>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9" w:hRule="atLeast"/>
        </w:trPr>
        <w:tc>
          <w:tcPr>
            <w:tcW w:w="12299" w:type="dxa"/>
            <w:gridSpan w:val="6"/>
            <w:tcBorders>
              <w:top w:val="nil"/>
              <w:left w:val="nil"/>
              <w:bottom w:val="nil"/>
              <w:right w:val="nil"/>
            </w:tcBorders>
            <w:shd w:val="clear" w:color="auto" w:fill="auto"/>
            <w:noWrap/>
            <w:vAlign w:val="center"/>
          </w:tcPr>
          <w:p>
            <w:pPr>
              <w:widowControl/>
              <w:spacing w:after="0" w:line="240" w:lineRule="auto"/>
              <w:jc w:val="left"/>
              <w:rPr>
                <w:rFonts w:eastAsia="Times New Roman"/>
                <w:kern w:val="0"/>
                <w:sz w:val="18"/>
                <w:szCs w:val="18"/>
              </w:rPr>
            </w:pPr>
            <w:r>
              <w:rPr>
                <w:rFonts w:hint="eastAsia" w:ascii="宋体" w:hAnsi="宋体" w:cs="Arial"/>
                <w:color w:val="000000"/>
                <w:kern w:val="0"/>
                <w:sz w:val="18"/>
                <w:szCs w:val="18"/>
              </w:rPr>
              <w:t>注：本表反映部门本年度纳入部门预算范围的政府采购预算及支出情况。本部门本年度无预算及支出情况，按要求以空表列示。</w:t>
            </w:r>
          </w:p>
        </w:tc>
        <w:tc>
          <w:tcPr>
            <w:tcW w:w="1693" w:type="dxa"/>
            <w:tcBorders>
              <w:top w:val="nil"/>
              <w:left w:val="nil"/>
              <w:bottom w:val="nil"/>
              <w:right w:val="nil"/>
            </w:tcBorders>
            <w:shd w:val="clear" w:color="auto" w:fill="auto"/>
            <w:noWrap/>
            <w:vAlign w:val="center"/>
          </w:tcPr>
          <w:p>
            <w:pPr>
              <w:widowControl/>
              <w:spacing w:after="0" w:line="240" w:lineRule="auto"/>
              <w:jc w:val="left"/>
              <w:rPr>
                <w:rFonts w:eastAsia="Times New Roman"/>
                <w:kern w:val="0"/>
                <w:sz w:val="18"/>
                <w:szCs w:val="18"/>
              </w:rPr>
            </w:pPr>
          </w:p>
        </w:tc>
      </w:tr>
      <w:tr>
        <w:tblPrEx>
          <w:tblCellMar>
            <w:top w:w="0" w:type="dxa"/>
            <w:left w:w="108" w:type="dxa"/>
            <w:bottom w:w="0" w:type="dxa"/>
            <w:right w:w="108" w:type="dxa"/>
          </w:tblCellMar>
        </w:tblPrEx>
        <w:trPr>
          <w:trHeight w:val="264" w:hRule="atLeast"/>
        </w:trPr>
        <w:tc>
          <w:tcPr>
            <w:tcW w:w="2600"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2044"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843"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843"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984"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985"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693"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r>
      <w:tr>
        <w:tblPrEx>
          <w:tblCellMar>
            <w:top w:w="0" w:type="dxa"/>
            <w:left w:w="108" w:type="dxa"/>
            <w:bottom w:w="0" w:type="dxa"/>
            <w:right w:w="108" w:type="dxa"/>
          </w:tblCellMar>
        </w:tblPrEx>
        <w:trPr>
          <w:trHeight w:val="264" w:hRule="atLeast"/>
        </w:trPr>
        <w:tc>
          <w:tcPr>
            <w:tcW w:w="2600"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2044"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843"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843" w:type="dxa"/>
            <w:tcBorders>
              <w:top w:val="nil"/>
              <w:left w:val="nil"/>
              <w:bottom w:val="nil"/>
              <w:right w:val="nil"/>
            </w:tcBorders>
            <w:shd w:val="clear" w:color="auto" w:fill="auto"/>
            <w:noWrap/>
            <w:vAlign w:val="bottom"/>
          </w:tcPr>
          <w:p>
            <w:pPr>
              <w:widowControl/>
              <w:spacing w:after="0" w:line="240" w:lineRule="auto"/>
              <w:jc w:val="center"/>
              <w:rPr>
                <w:rFonts w:ascii="宋体" w:hAnsi="宋体" w:cs="Arial"/>
                <w:color w:val="000000"/>
                <w:kern w:val="0"/>
                <w:sz w:val="18"/>
                <w:szCs w:val="18"/>
              </w:rPr>
            </w:pPr>
            <w:r>
              <w:rPr>
                <w:rFonts w:hint="eastAsia" w:ascii="宋体" w:hAnsi="宋体" w:cs="Arial"/>
                <w:color w:val="000000"/>
                <w:kern w:val="0"/>
                <w:sz w:val="18"/>
                <w:szCs w:val="18"/>
              </w:rPr>
              <w:t>— 10 —</w:t>
            </w:r>
          </w:p>
        </w:tc>
        <w:tc>
          <w:tcPr>
            <w:tcW w:w="1984" w:type="dxa"/>
            <w:tcBorders>
              <w:top w:val="nil"/>
              <w:left w:val="nil"/>
              <w:bottom w:val="nil"/>
              <w:right w:val="nil"/>
            </w:tcBorders>
            <w:shd w:val="clear" w:color="auto" w:fill="auto"/>
            <w:noWrap/>
            <w:vAlign w:val="bottom"/>
          </w:tcPr>
          <w:p>
            <w:pPr>
              <w:widowControl/>
              <w:spacing w:after="0" w:line="240" w:lineRule="auto"/>
              <w:jc w:val="center"/>
              <w:rPr>
                <w:rFonts w:ascii="宋体" w:hAnsi="宋体" w:cs="Arial"/>
                <w:color w:val="000000"/>
                <w:kern w:val="0"/>
                <w:sz w:val="18"/>
                <w:szCs w:val="18"/>
              </w:rPr>
            </w:pPr>
          </w:p>
        </w:tc>
        <w:tc>
          <w:tcPr>
            <w:tcW w:w="1985"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c>
          <w:tcPr>
            <w:tcW w:w="1693" w:type="dxa"/>
            <w:tcBorders>
              <w:top w:val="nil"/>
              <w:left w:val="nil"/>
              <w:bottom w:val="nil"/>
              <w:right w:val="nil"/>
            </w:tcBorders>
            <w:shd w:val="clear" w:color="auto" w:fill="auto"/>
            <w:noWrap/>
            <w:vAlign w:val="bottom"/>
          </w:tcPr>
          <w:p>
            <w:pPr>
              <w:widowControl/>
              <w:spacing w:after="0" w:line="240" w:lineRule="auto"/>
              <w:jc w:val="left"/>
              <w:rPr>
                <w:rFonts w:eastAsia="Times New Roman"/>
                <w:kern w:val="0"/>
                <w:sz w:val="18"/>
                <w:szCs w:val="18"/>
              </w:rPr>
            </w:pPr>
          </w:p>
        </w:tc>
      </w:tr>
    </w:tbl>
    <w:p/>
    <w:p>
      <w:pPr>
        <w:sectPr>
          <w:pgSz w:w="16838" w:h="11906" w:orient="landscape"/>
          <w:pgMar w:top="2098" w:right="1474" w:bottom="1588" w:left="1588" w:header="851" w:footer="992" w:gutter="0"/>
          <w:cols w:space="0" w:num="1"/>
          <w:docGrid w:linePitch="312" w:charSpace="0"/>
        </w:sectPr>
      </w:pPr>
    </w:p>
    <w:p>
      <w:pPr>
        <w:tabs>
          <w:tab w:val="left" w:pos="1032"/>
        </w:tabs>
        <w:rPr>
          <w:rFonts w:ascii="宋体" w:hAnsi="宋体" w:cs="ArialUnicodeMS"/>
          <w:color w:val="000000"/>
          <w:kern w:val="0"/>
        </w:rPr>
        <w:sectPr>
          <w:pgSz w:w="11906" w:h="16838"/>
          <w:pgMar w:top="1588" w:right="2098" w:bottom="1474" w:left="1588" w:header="851" w:footer="992" w:gutter="0"/>
          <w:cols w:space="0" w:num="1"/>
          <w:docGrid w:linePitch="312" w:charSpace="0"/>
        </w:sectPr>
      </w:pPr>
      <w:r>
        <w:tab/>
      </w:r>
      <w:r>
        <w:rPr>
          <w:rFonts w:hint="eastAsia" w:ascii="宋体" w:hAnsi="宋体" w:cs="ArialUnicodeMS"/>
          <w:color w:val="000000"/>
          <w:kern w:val="0"/>
        </w:rPr>
        <w:drawing>
          <wp:anchor distT="0" distB="0" distL="0" distR="0" simplePos="0" relativeHeight="251662336" behindDoc="1" locked="0" layoutInCell="1" allowOverlap="1">
            <wp:simplePos x="0" y="0"/>
            <wp:positionH relativeFrom="column">
              <wp:posOffset>-1009015</wp:posOffset>
            </wp:positionH>
            <wp:positionV relativeFrom="paragraph">
              <wp:posOffset>-1337945</wp:posOffset>
            </wp:positionV>
            <wp:extent cx="7550150" cy="10680065"/>
            <wp:effectExtent l="0" t="0" r="12700" b="6985"/>
            <wp:wrapNone/>
            <wp:docPr id="1071" name="图片 4"/>
            <wp:cNvGraphicFramePr/>
            <a:graphic xmlns:a="http://schemas.openxmlformats.org/drawingml/2006/main">
              <a:graphicData uri="http://schemas.openxmlformats.org/drawingml/2006/picture">
                <pic:pic xmlns:pic="http://schemas.openxmlformats.org/drawingml/2006/picture">
                  <pic:nvPicPr>
                    <pic:cNvPr id="1071" name="图片 4"/>
                    <pic:cNvPicPr/>
                  </pic:nvPicPr>
                  <pic:blipFill>
                    <a:blip r:embed="rId12" cstate="print"/>
                    <a:srcRect/>
                    <a:stretch>
                      <a:fillRect/>
                    </a:stretch>
                  </pic:blipFill>
                  <pic:spPr>
                    <a:xfrm>
                      <a:off x="0" y="0"/>
                      <a:ext cx="7550150" cy="10680064"/>
                    </a:xfrm>
                    <a:prstGeom prst="rect">
                      <a:avLst/>
                    </a:prstGeom>
                  </pic:spPr>
                </pic:pic>
              </a:graphicData>
            </a:graphic>
          </wp:anchor>
        </w:drawing>
      </w:r>
      <w:r>
        <w:rPr>
          <w:sz w:val="72"/>
        </w:rPr>
        <mc:AlternateContent>
          <mc:Choice Requires="wps">
            <w:drawing>
              <wp:anchor distT="0" distB="0" distL="114300" distR="114300" simplePos="0" relativeHeight="251667456" behindDoc="0" locked="0" layoutInCell="1" allowOverlap="1">
                <wp:simplePos x="0" y="0"/>
                <wp:positionH relativeFrom="column">
                  <wp:posOffset>-999490</wp:posOffset>
                </wp:positionH>
                <wp:positionV relativeFrom="paragraph">
                  <wp:posOffset>2956560</wp:posOffset>
                </wp:positionV>
                <wp:extent cx="7571740" cy="2020570"/>
                <wp:effectExtent l="0" t="2540" r="1270" b="0"/>
                <wp:wrapNone/>
                <wp:docPr id="1141" name="1072"/>
                <wp:cNvGraphicFramePr/>
                <a:graphic xmlns:a="http://schemas.openxmlformats.org/drawingml/2006/main">
                  <a:graphicData uri="http://schemas.microsoft.com/office/word/2010/wordprocessingShape">
                    <wps:wsp>
                      <wps:cNvSpPr>
                        <a:spLocks noChangeArrowheads="1"/>
                      </wps:cNvSpPr>
                      <wps:spPr bwMode="auto">
                        <a:xfrm>
                          <a:off x="0" y="0"/>
                          <a:ext cx="7571740" cy="2020570"/>
                        </a:xfrm>
                        <a:prstGeom prst="rect">
                          <a:avLst/>
                        </a:prstGeom>
                        <a:noFill/>
                        <a:ln>
                          <a:noFill/>
                        </a:ln>
                      </wps:spPr>
                      <wps:txbx>
                        <w:txbxContent>
                          <w:p>
                            <w:pPr>
                              <w:widowControl/>
                              <w:spacing w:line="1200" w:lineRule="exact"/>
                              <w:jc w:val="center"/>
                              <w:rPr>
                                <w:rFonts w:ascii="黑体" w:hAnsi="宋体" w:eastAsia="黑体"/>
                                <w:color w:val="FDEFBE"/>
                                <w:sz w:val="96"/>
                                <w:szCs w:val="96"/>
                              </w:rPr>
                            </w:pPr>
                            <w:r>
                              <w:rPr>
                                <w:rFonts w:hint="eastAsia" w:ascii="黑体" w:hAnsi="宋体" w:eastAsia="黑体"/>
                                <w:color w:val="FDEFBE"/>
                                <w:sz w:val="96"/>
                                <w:szCs w:val="96"/>
                              </w:rPr>
                              <w:t>第三部分</w:t>
                            </w:r>
                          </w:p>
                          <w:p>
                            <w:pPr>
                              <w:widowControl/>
                              <w:spacing w:line="1200" w:lineRule="exact"/>
                              <w:jc w:val="center"/>
                              <w:rPr>
                                <w:color w:val="FDEFBE"/>
                                <w:sz w:val="96"/>
                                <w:szCs w:val="96"/>
                              </w:rPr>
                            </w:pPr>
                            <w:r>
                              <w:rPr>
                                <w:rFonts w:hint="eastAsia" w:ascii="黑体" w:hAnsi="宋体" w:eastAsia="黑体"/>
                                <w:color w:val="FDEFBE"/>
                                <w:sz w:val="96"/>
                                <w:szCs w:val="96"/>
                              </w:rPr>
                              <w:t>部门决算情况说明</w:t>
                            </w:r>
                          </w:p>
                        </w:txbxContent>
                      </wps:txbx>
                      <wps:bodyPr rot="0" vert="horz" wrap="square" lIns="91440" tIns="45720" rIns="91440" bIns="45720" anchor="t" anchorCtr="0" upright="1">
                        <a:noAutofit/>
                      </wps:bodyPr>
                    </wps:wsp>
                  </a:graphicData>
                </a:graphic>
              </wp:anchor>
            </w:drawing>
          </mc:Choice>
          <mc:Fallback>
            <w:pict>
              <v:rect id="1072" o:spid="_x0000_s1026" o:spt="1" style="position:absolute;left:0pt;margin-left:-78.7pt;margin-top:232.8pt;height:159.1pt;width:596.2pt;z-index:251667456;mso-width-relative:page;mso-height-relative:page;" filled="f" stroked="f" coordsize="21600,21600" o:gfxdata="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ObXDt4AAAANAQAADwAAAAAAAAABACAAAAAiAAAA&#10;ZHJzL2Rvd25yZXYueG1sUEsBAhQAFAAAAAgAh07iQALddKIBAgAACAQAAA4AAAAAAAAAAQAgAAAA&#10;LQEAAGRycy9lMm9Eb2MueG1sUEsFBgAAAAAGAAYAWQEAAKAFAAAAAA==&#10;">
                <v:fill on="f" focussize="0,0"/>
                <v:stroke on="f"/>
                <v:imagedata o:title=""/>
                <o:lock v:ext="edit" aspectratio="f"/>
                <v:textbox>
                  <w:txbxContent>
                    <w:p>
                      <w:pPr>
                        <w:widowControl/>
                        <w:spacing w:line="1200" w:lineRule="exact"/>
                        <w:jc w:val="center"/>
                        <w:rPr>
                          <w:rFonts w:ascii="黑体" w:hAnsi="宋体" w:eastAsia="黑体"/>
                          <w:color w:val="FDEFBE"/>
                          <w:sz w:val="96"/>
                          <w:szCs w:val="96"/>
                        </w:rPr>
                      </w:pPr>
                      <w:r>
                        <w:rPr>
                          <w:rFonts w:hint="eastAsia" w:ascii="黑体" w:hAnsi="宋体" w:eastAsia="黑体"/>
                          <w:color w:val="FDEFBE"/>
                          <w:sz w:val="96"/>
                          <w:szCs w:val="96"/>
                        </w:rPr>
                        <w:t>第三部分</w:t>
                      </w:r>
                    </w:p>
                    <w:p>
                      <w:pPr>
                        <w:widowControl/>
                        <w:spacing w:line="1200" w:lineRule="exact"/>
                        <w:jc w:val="center"/>
                        <w:rPr>
                          <w:color w:val="FDEFBE"/>
                          <w:sz w:val="96"/>
                          <w:szCs w:val="96"/>
                        </w:rPr>
                      </w:pPr>
                      <w:r>
                        <w:rPr>
                          <w:rFonts w:hint="eastAsia" w:ascii="黑体" w:hAnsi="宋体" w:eastAsia="黑体"/>
                          <w:color w:val="FDEFBE"/>
                          <w:sz w:val="96"/>
                          <w:szCs w:val="96"/>
                        </w:rPr>
                        <w:t>部门决算情况说明</w:t>
                      </w:r>
                    </w:p>
                  </w:txbxContent>
                </v:textbox>
              </v:rect>
            </w:pict>
          </mc:Fallback>
        </mc:AlternateContent>
      </w:r>
    </w:p>
    <w:p>
      <w:pPr>
        <w:pStyle w:val="3"/>
        <w:spacing w:before="0" w:after="0" w:line="560" w:lineRule="exact"/>
        <w:ind w:firstLine="640" w:firstLineChars="200"/>
        <w:rPr>
          <w:rFonts w:ascii="黑体" w:eastAsia="黑体"/>
          <w:b w:val="0"/>
          <w:bCs w:val="0"/>
        </w:rPr>
      </w:pPr>
      <w:r>
        <w:rPr>
          <w:rFonts w:hint="eastAsia" w:ascii="黑体" w:eastAsia="黑体"/>
          <w:b w:val="0"/>
          <w:bCs w:val="0"/>
        </w:rPr>
        <w:t>一、收入支出决算总体情况说明</w:t>
      </w:r>
    </w:p>
    <w:p>
      <w:pPr>
        <w:keepNext w:val="0"/>
        <w:keepLines w:val="0"/>
        <w:pageBreakBefore w:val="0"/>
        <w:widowControl/>
        <w:kinsoku/>
        <w:wordWrap/>
        <w:overflowPunct/>
        <w:topLinePunct w:val="0"/>
        <w:autoSpaceDE/>
        <w:autoSpaceDN/>
        <w:bidi w:val="0"/>
        <w:adjustRightInd/>
        <w:snapToGrid/>
        <w:spacing w:after="0" w:line="560" w:lineRule="exact"/>
        <w:ind w:left="0" w:firstLine="640" w:firstLineChars="200"/>
        <w:textAlignment w:val="auto"/>
        <w:rPr>
          <w:rFonts w:hint="eastAsia" w:eastAsia="仿宋_GB2312"/>
          <w:sz w:val="32"/>
          <w:szCs w:val="32"/>
          <w:lang w:val="en-US" w:eastAsia="zh-CN"/>
        </w:rPr>
      </w:pPr>
      <w:r>
        <w:rPr>
          <w:rFonts w:hint="eastAsia" w:eastAsia="仿宋_GB2312"/>
          <w:sz w:val="32"/>
          <w:szCs w:val="32"/>
        </w:rPr>
        <mc:AlternateContent>
          <mc:Choice Requires="wpg">
            <w:drawing>
              <wp:anchor distT="0" distB="0" distL="114300" distR="114300" simplePos="0" relativeHeight="251671552" behindDoc="0" locked="1" layoutInCell="1" allowOverlap="1">
                <wp:simplePos x="0" y="0"/>
                <wp:positionH relativeFrom="page">
                  <wp:posOffset>4445</wp:posOffset>
                </wp:positionH>
                <wp:positionV relativeFrom="page">
                  <wp:posOffset>294005</wp:posOffset>
                </wp:positionV>
                <wp:extent cx="3833495" cy="558165"/>
                <wp:effectExtent l="4445" t="0" r="635" b="14605"/>
                <wp:wrapNone/>
                <wp:docPr id="1138" name="1073"/>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1139" name="1074"/>
                        <wps:cNvSpPr>
                          <a:spLocks noChangeArrowheads="1"/>
                        </wps:cNvSpPr>
                        <wps:spPr bwMode="auto">
                          <a:xfrm>
                            <a:off x="4551" y="52615"/>
                            <a:ext cx="8546" cy="1175"/>
                          </a:xfrm>
                          <a:prstGeom prst="rect">
                            <a:avLst/>
                          </a:prstGeom>
                          <a:solidFill>
                            <a:srgbClr val="D8D8D8"/>
                          </a:solidFill>
                          <a:ln>
                            <a:noFill/>
                          </a:ln>
                        </wps:spPr>
                        <wps:bodyPr rot="0" vert="horz" wrap="square" lIns="91440" tIns="45720" rIns="91440" bIns="45720" anchor="t" anchorCtr="0" upright="1">
                          <a:noAutofit/>
                        </wps:bodyPr>
                      </wps:wsp>
                      <wps:wsp>
                        <wps:cNvPr id="1140" name="1075"/>
                        <wps:cNvSpPr>
                          <a:spLocks noChangeArrowheads="1"/>
                        </wps:cNvSpPr>
                        <wps:spPr bwMode="auto">
                          <a:xfrm>
                            <a:off x="4577" y="52890"/>
                            <a:ext cx="8324" cy="1123"/>
                          </a:xfrm>
                          <a:prstGeom prst="rect">
                            <a:avLst/>
                          </a:prstGeom>
                          <a:solidFill>
                            <a:srgbClr val="AD002D"/>
                          </a:solidFill>
                          <a:ln w="25400">
                            <a:solidFill>
                              <a:srgbClr val="AF7621"/>
                            </a:solidFill>
                            <a:miter lim="800000"/>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wps:txbx>
                        <wps:bodyPr rot="0" vert="horz" wrap="square" lIns="91440" tIns="45720" rIns="91440" bIns="45720" anchor="ctr" anchorCtr="0" upright="1">
                          <a:noAutofit/>
                        </wps:bodyPr>
                      </wps:wsp>
                    </wpg:wgp>
                  </a:graphicData>
                </a:graphic>
              </wp:anchor>
            </w:drawing>
          </mc:Choice>
          <mc:Fallback>
            <w:pict>
              <v:group id="1073" o:spid="_x0000_s1026" o:spt="203" style="position:absolute;left:0pt;margin-left:0.35pt;margin-top:23.15pt;height:43.95pt;width:301.85pt;mso-position-horizontal-relative:page;mso-position-vertical-relative:page;z-index:251671552;mso-width-relative:page;mso-height-relative:page;" coordorigin="4551,52615" coordsize="8546,1398" o:gfxdata="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AAAAAGRycy9Q&#10;SwECFAAUAAAACACHTuJA0krtZtcAAAAHAQAADwAAAAAAAAABACAAAAAiAAAAZHJzL2Rvd25yZXYu&#10;eG1sUEsBAhQAFAAAAAgAh07iQJ5YeyTgAgAA9wcAAA4AAAAAAAAAAQAgAAAAJgEAAGRycy9lMm9E&#10;b2MueG1sUEsFBgAAAAAGAAYAWQEAAHgGAAAAAA==&#10;">
                <o:lock v:ext="edit" aspectratio="f"/>
                <v:rect id="1074" o:spid="_x0000_s1026" o:spt="1" style="position:absolute;left:4551;top:52615;height:1175;width:8546;" fillcolor="#D8D8D8" filled="t" stroked="f" coordsize="21600,21600" o:gfxdata="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eTkAy8AAAA&#10;3QAAAA8AAAAAAAAAAQAgAAAAIgAAAGRycy9kb3ducmV2LnhtbFBLAQIUABQAAAAIAIdO4kAzLwWe&#10;OwAAADkAAAAQAAAAAAAAAAEAIAAAAAsBAABkcnMvc2hhcGV4bWwueG1sUEsFBgAAAAAGAAYAWwEA&#10;ALUDAAAAAA==&#10;">
                  <v:fill on="t" focussize="0,0"/>
                  <v:stroke on="f"/>
                  <v:imagedata o:title=""/>
                  <o:lock v:ext="edit" aspectratio="f"/>
                </v:rect>
                <v:rect id="1075" o:spid="_x0000_s1026" o:spt="1" style="position:absolute;left:4577;top:52890;height:1123;width:8324;v-text-anchor:middle;" fillcolor="#AD002D" filled="t" stroked="t" coordsize="21600,21600" o:gfxdata="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YoHbS/&#10;AAAA3QAAAA8AAAAAAAAAAQAgAAAAIgAAAGRycy9kb3ducmV2LnhtbFBLAQIUABQAAAAIAIdO4kAz&#10;LwWeOwAAADkAAAAQAAAAAAAAAAEAIAAAAA4BAABkcnMvc2hhcGV4bWwueG1sUEsFBgAAAAAGAAYA&#10;WwEAALgDAAAAAA==&#10;">
                  <v:fill on="t" focussize="0,0"/>
                  <v:stroke weight="2pt" color="#AF7621" miterlimit="8" joinstyle="miter"/>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mc:Fallback>
        </mc:AlternateContent>
      </w:r>
      <w:r>
        <w:rPr>
          <w:rFonts w:hint="eastAsia" w:eastAsia="仿宋_GB2312"/>
          <w:sz w:val="32"/>
          <w:szCs w:val="32"/>
          <w:lang w:val="en-US" w:eastAsia="zh-CN"/>
        </w:rPr>
        <w:t>本部门2018年度收支总计（含结转和结余）39844.30万元。与2017年决算相比，收支各增加13472.27万元，增长51.09%，主要原因</w:t>
      </w:r>
      <w:r>
        <w:rPr>
          <w:rFonts w:hint="eastAsia" w:eastAsia="仿宋_GB2312"/>
          <w:sz w:val="32"/>
          <w:szCs w:val="32"/>
        </w:rPr>
        <w:t>是环保系统垂改上收了19个分局，增加了公用经费的预算，同时也增加了部门专项项目的预算</w:t>
      </w:r>
      <w:r>
        <w:rPr>
          <w:rFonts w:hint="eastAsia" w:eastAsia="仿宋_GB2312"/>
          <w:sz w:val="32"/>
          <w:szCs w:val="32"/>
          <w:lang w:val="en-US" w:eastAsia="zh-CN"/>
        </w:rPr>
        <w:t>。</w:t>
      </w:r>
    </w:p>
    <w:p>
      <w:pPr>
        <w:pStyle w:val="3"/>
        <w:spacing w:before="0" w:after="0" w:line="560" w:lineRule="exact"/>
        <w:ind w:firstLine="640" w:firstLineChars="200"/>
        <w:rPr>
          <w:rFonts w:ascii="黑体" w:eastAsia="黑体"/>
          <w:b w:val="0"/>
          <w:bCs w:val="0"/>
        </w:rPr>
      </w:pPr>
      <w:r>
        <w:rPr>
          <w:rFonts w:hint="eastAsia" w:ascii="黑体" w:eastAsia="黑体"/>
          <w:b w:val="0"/>
          <w:bCs w:val="0"/>
        </w:rPr>
        <w:t>二、收入决算情况说明</w:t>
      </w:r>
    </w:p>
    <w:p>
      <w:pPr>
        <w:spacing w:after="0" w:line="560" w:lineRule="exact"/>
        <w:rPr>
          <w:rFonts w:hint="eastAsia" w:eastAsia="仿宋_GB2312"/>
          <w:sz w:val="32"/>
          <w:szCs w:val="32"/>
        </w:rPr>
      </w:pPr>
      <w:r>
        <w:rPr>
          <w:rFonts w:ascii="仿宋_GB2312" w:eastAsia="仿宋_GB2312" w:cs="DengXian-Regular"/>
          <w:sz w:val="32"/>
          <w:szCs w:val="32"/>
        </w:rPr>
        <mc:AlternateContent>
          <mc:Choice Requires="wpg">
            <w:drawing>
              <wp:anchor distT="0" distB="0" distL="114300" distR="114300" simplePos="0" relativeHeight="251672576" behindDoc="0" locked="1" layoutInCell="1" allowOverlap="1">
                <wp:simplePos x="0" y="0"/>
                <wp:positionH relativeFrom="page">
                  <wp:posOffset>12065</wp:posOffset>
                </wp:positionH>
                <wp:positionV relativeFrom="page">
                  <wp:posOffset>265430</wp:posOffset>
                </wp:positionV>
                <wp:extent cx="3833495" cy="558165"/>
                <wp:effectExtent l="2540" t="0" r="2540" b="14605"/>
                <wp:wrapNone/>
                <wp:docPr id="1135" name="Group 107"/>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1136" name="1074"/>
                        <wps:cNvSpPr>
                          <a:spLocks noChangeArrowheads="1"/>
                        </wps:cNvSpPr>
                        <wps:spPr bwMode="auto">
                          <a:xfrm>
                            <a:off x="4551" y="52615"/>
                            <a:ext cx="8546" cy="1175"/>
                          </a:xfrm>
                          <a:prstGeom prst="rect">
                            <a:avLst/>
                          </a:prstGeom>
                          <a:solidFill>
                            <a:srgbClr val="D8D8D8"/>
                          </a:solidFill>
                          <a:ln>
                            <a:noFill/>
                          </a:ln>
                        </wps:spPr>
                        <wps:bodyPr rot="0" vert="horz" wrap="square" lIns="91440" tIns="45720" rIns="91440" bIns="45720" anchor="t" anchorCtr="0" upright="1">
                          <a:noAutofit/>
                        </wps:bodyPr>
                      </wps:wsp>
                      <wps:wsp>
                        <wps:cNvPr id="1137" name="1075"/>
                        <wps:cNvSpPr>
                          <a:spLocks noChangeArrowheads="1"/>
                        </wps:cNvSpPr>
                        <wps:spPr bwMode="auto">
                          <a:xfrm>
                            <a:off x="4577" y="52890"/>
                            <a:ext cx="8324" cy="1123"/>
                          </a:xfrm>
                          <a:prstGeom prst="rect">
                            <a:avLst/>
                          </a:prstGeom>
                          <a:solidFill>
                            <a:srgbClr val="AD002D"/>
                          </a:solidFill>
                          <a:ln w="25400">
                            <a:solidFill>
                              <a:srgbClr val="AF7621"/>
                            </a:solidFill>
                            <a:miter lim="800000"/>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wps:txbx>
                        <wps:bodyPr rot="0" vert="horz" wrap="square" lIns="91440" tIns="45720" rIns="91440" bIns="45720" anchor="ctr" anchorCtr="0" upright="1">
                          <a:noAutofit/>
                        </wps:bodyPr>
                      </wps:wsp>
                    </wpg:wgp>
                  </a:graphicData>
                </a:graphic>
              </wp:anchor>
            </w:drawing>
          </mc:Choice>
          <mc:Fallback>
            <w:pict>
              <v:group id="Group 107" o:spid="_x0000_s1026" o:spt="203" style="position:absolute;left:0pt;margin-left:0.95pt;margin-top:20.9pt;height:43.95pt;width:301.85pt;mso-position-horizontal-relative:page;mso-position-vertical-relative:page;z-index:251672576;mso-width-relative:page;mso-height-relative:page;" coordorigin="4551,52615" coordsize="8546,1398" o:gfxdata="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AVAHaN2AAAAAgBAAAPAAAAAAAAAAEAIAAAACIAAABkcnMvZG93&#10;bnJldi54bWxQSwECFAAUAAAACACHTuJA+Me2peQCAAD8BwAADgAAAAAAAAABACAAAAAnAQAAZHJz&#10;L2Uyb0RvYy54bWxQSwUGAAAAAAYABgBZAQAAfQYAAAAA&#10;">
                <o:lock v:ext="edit" aspectratio="f"/>
                <v:rect id="1074" o:spid="_x0000_s1026" o:spt="1" style="position:absolute;left:4551;top:52615;height:1175;width:8546;" fillcolor="#D8D8D8" filled="t" stroked="f" coordsize="21600,21600" o:gfxdata="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DAR+vQAA&#10;AN0AAAAPAAAAAAAAAAEAIAAAACIAAABkcnMvZG93bnJldi54bWxQSwECFAAUAAAACACHTuJAMy8F&#10;njsAAAA5AAAAEAAAAAAAAAABACAAAAAMAQAAZHJzL3NoYXBleG1sLnhtbFBLBQYAAAAABgAGAFsB&#10;AAC2AwAAAAA=&#10;">
                  <v:fill on="t" focussize="0,0"/>
                  <v:stroke on="f"/>
                  <v:imagedata o:title=""/>
                  <o:lock v:ext="edit" aspectratio="f"/>
                </v:rect>
                <v:rect id="1075" o:spid="_x0000_s1026" o:spt="1" style="position:absolute;left:4577;top:52890;height:1123;width:8324;v-text-anchor:middle;" fillcolor="#AD002D" filled="t" stroked="t" coordsize="21600,21600" o:gfxdata="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x/a9vQAA&#10;AN0AAAAPAAAAAAAAAAEAIAAAACIAAABkcnMvZG93bnJldi54bWxQSwECFAAUAAAACACHTuJAMy8F&#10;njsAAAA5AAAAEAAAAAAAAAABACAAAAAMAQAAZHJzL3NoYXBleG1sLnhtbFBLBQYAAAAABgAGAFsB&#10;AAC2AwAAAAA=&#10;">
                  <v:fill on="t" focussize="0,0"/>
                  <v:stroke weight="2pt" color="#AF7621" miterlimit="8" joinstyle="miter"/>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mc:Fallback>
        </mc:AlternateContent>
      </w:r>
      <w:r>
        <w:rPr>
          <w:rFonts w:hint="eastAsia" w:ascii="仿宋_GB2312" w:eastAsia="仿宋_GB2312" w:cs="DengXian-Regular"/>
          <w:sz w:val="32"/>
          <w:szCs w:val="32"/>
        </w:rPr>
        <w:t xml:space="preserve">    </w:t>
      </w:r>
      <w:r>
        <w:rPr>
          <w:rFonts w:hint="eastAsia" w:eastAsia="仿宋_GB2312"/>
          <w:sz w:val="32"/>
          <w:szCs w:val="32"/>
        </w:rPr>
        <w:t>本部门2018年</w:t>
      </w:r>
      <w:r>
        <w:rPr>
          <w:rFonts w:hint="eastAsia" w:eastAsia="仿宋_GB2312"/>
          <w:sz w:val="32"/>
          <w:szCs w:val="32"/>
          <w:lang w:val="en-US" w:eastAsia="zh-CN"/>
        </w:rPr>
        <w:t>度</w:t>
      </w:r>
      <w:r>
        <w:rPr>
          <w:rFonts w:hint="eastAsia" w:eastAsia="仿宋_GB2312"/>
          <w:sz w:val="32"/>
          <w:szCs w:val="32"/>
        </w:rPr>
        <w:t>本年收入合计33200.30万元，其中：财政拨款收入27275.46万元，占82.15%；政府性基金收入0.00万元，占0.00%；</w:t>
      </w:r>
      <w:r>
        <w:rPr>
          <w:rFonts w:hint="eastAsia" w:eastAsia="仿宋_GB2312"/>
          <w:sz w:val="32"/>
          <w:szCs w:val="32"/>
          <w:lang w:val="en-US" w:eastAsia="zh-CN"/>
        </w:rPr>
        <w:t>事业收入0.00万元，占0.00%；经营收入</w:t>
      </w:r>
      <w:r>
        <w:rPr>
          <w:rFonts w:hint="eastAsia" w:eastAsia="仿宋_GB2312"/>
          <w:sz w:val="32"/>
          <w:szCs w:val="32"/>
        </w:rPr>
        <w:t>0.00万元，占0.00%</w:t>
      </w:r>
      <w:r>
        <w:rPr>
          <w:rFonts w:hint="eastAsia" w:eastAsia="仿宋_GB2312"/>
          <w:sz w:val="32"/>
          <w:szCs w:val="32"/>
          <w:lang w:eastAsia="zh-CN"/>
        </w:rPr>
        <w:t>；</w:t>
      </w:r>
      <w:r>
        <w:rPr>
          <w:rFonts w:hint="eastAsia" w:eastAsia="仿宋_GB2312"/>
          <w:sz w:val="32"/>
          <w:szCs w:val="32"/>
        </w:rPr>
        <w:t>其他收入5924.84万元，占17.85%。如图所示：</w:t>
      </w:r>
    </w:p>
    <w:p>
      <w:pPr>
        <w:jc w:val="center"/>
      </w:pPr>
      <w:r>
        <w:drawing>
          <wp:inline distT="0" distB="0" distL="0" distR="0">
            <wp:extent cx="3924300" cy="2667000"/>
            <wp:effectExtent l="0" t="0" r="0" b="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tabs>
          <w:tab w:val="left" w:pos="3555"/>
        </w:tabs>
        <w:rPr>
          <w:rFonts w:ascii="仿宋_GB2312" w:eastAsia="仿宋_GB2312"/>
          <w:sz w:val="32"/>
          <w:szCs w:val="32"/>
        </w:rPr>
      </w:pPr>
      <w:r>
        <w:rPr>
          <w:rFonts w:hint="eastAsia" w:ascii="仿宋_GB2312" w:eastAsia="仿宋_GB2312"/>
        </w:rPr>
        <w:t xml:space="preserve">                           </w:t>
      </w:r>
      <w:r>
        <w:rPr>
          <w:rFonts w:hint="eastAsia" w:ascii="仿宋_GB2312" w:eastAsia="仿宋_GB2312"/>
          <w:sz w:val="32"/>
          <w:szCs w:val="32"/>
        </w:rPr>
        <w:t>图一:收入构成情况</w:t>
      </w:r>
      <w:r>
        <w:rPr>
          <w:rFonts w:hint="eastAsia" w:ascii="仿宋_GB2312" w:eastAsia="仿宋_GB2312"/>
          <w:sz w:val="32"/>
          <w:szCs w:val="32"/>
        </w:rPr>
        <w:tab/>
      </w:r>
    </w:p>
    <w:p>
      <w:pPr>
        <w:pStyle w:val="3"/>
        <w:spacing w:before="0" w:after="0" w:line="580" w:lineRule="exact"/>
        <w:ind w:firstLine="640" w:firstLineChars="200"/>
        <w:rPr>
          <w:rFonts w:ascii="黑体" w:eastAsia="黑体"/>
          <w:b w:val="0"/>
          <w:bCs w:val="0"/>
        </w:rPr>
      </w:pPr>
      <w:r>
        <w:rPr>
          <w:rFonts w:hint="eastAsia" w:ascii="黑体" w:eastAsia="黑体"/>
          <w:b w:val="0"/>
          <w:bCs w:val="0"/>
        </w:rPr>
        <w:t>三、支出决算情况说明</w:t>
      </w:r>
    </w:p>
    <w:p>
      <w:pPr>
        <w:spacing w:after="0" w:line="560" w:lineRule="exact"/>
        <w:ind w:firstLine="640" w:firstLineChars="200"/>
        <w:rPr>
          <w:rFonts w:hint="eastAsia" w:eastAsia="仿宋_GB2312"/>
          <w:sz w:val="32"/>
          <w:szCs w:val="32"/>
        </w:rPr>
      </w:pPr>
      <w:r>
        <w:rPr>
          <w:rFonts w:hint="eastAsia" w:eastAsia="仿宋_GB2312"/>
          <w:sz w:val="32"/>
          <w:szCs w:val="32"/>
        </w:rPr>
        <w:t>本部门2018年度本年支出合计33810.85万元，其中：基本支出16660.77万元，占49.28%；项目支出17125.68万元，占50.65%。对附属单位补助支出 24.40万元,占0.07%。如图所示：</w:t>
      </w:r>
    </w:p>
    <w:p>
      <w:pPr>
        <w:adjustRightInd w:val="0"/>
        <w:snapToGrid w:val="0"/>
        <w:spacing w:after="0" w:line="240" w:lineRule="auto"/>
        <w:ind w:firstLine="640" w:firstLineChars="200"/>
        <w:jc w:val="center"/>
        <w:rPr>
          <w:rFonts w:ascii="仿宋_GB2312" w:eastAsia="仿宋_GB2312" w:cs="DengXian-Regular"/>
          <w:sz w:val="32"/>
          <w:szCs w:val="32"/>
        </w:rPr>
      </w:pPr>
      <w:r>
        <w:rPr>
          <w:rFonts w:ascii="仿宋_GB2312" w:eastAsia="仿宋_GB2312" w:cs="DengXian-Regular"/>
          <w:sz w:val="32"/>
          <w:szCs w:val="32"/>
        </w:rPr>
        <w:drawing>
          <wp:inline distT="0" distB="0" distL="0" distR="0">
            <wp:extent cx="3686175" cy="2428875"/>
            <wp:effectExtent l="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adjustRightInd w:val="0"/>
        <w:snapToGrid w:val="0"/>
        <w:spacing w:after="0" w:line="240" w:lineRule="auto"/>
        <w:ind w:firstLine="640" w:firstLineChars="200"/>
        <w:rPr>
          <w:rFonts w:hint="eastAsia" w:ascii="仿宋_GB2312" w:eastAsia="仿宋_GB2312" w:cs="DengXian-Regular"/>
          <w:sz w:val="32"/>
          <w:szCs w:val="32"/>
          <w:lang w:eastAsia="zh-CN"/>
        </w:rPr>
      </w:pPr>
      <w:r>
        <w:rPr>
          <w:rFonts w:hint="eastAsia" w:ascii="仿宋_GB2312" w:eastAsia="仿宋_GB2312" w:cs="DengXian-Regular"/>
          <w:sz w:val="32"/>
          <w:szCs w:val="32"/>
        </w:rPr>
        <w:t xml:space="preserve">           图二：支出构成情况</w:t>
      </w:r>
      <w:r>
        <w:rPr>
          <w:rFonts w:hint="eastAsia" w:ascii="仿宋_GB2312" w:eastAsia="仿宋_GB2312" w:cs="DengXian-Regular"/>
          <w:sz w:val="32"/>
          <w:szCs w:val="32"/>
          <w:lang w:eastAsia="zh-CN"/>
        </w:rPr>
        <w:t>（</w:t>
      </w:r>
      <w:r>
        <w:rPr>
          <w:rFonts w:hint="eastAsia" w:ascii="仿宋_GB2312" w:eastAsia="仿宋_GB2312" w:cs="DengXian-Regular"/>
          <w:sz w:val="32"/>
          <w:szCs w:val="32"/>
          <w:lang w:val="en-US" w:eastAsia="zh-CN"/>
        </w:rPr>
        <w:t>按支出性质</w:t>
      </w:r>
      <w:r>
        <w:rPr>
          <w:rFonts w:hint="eastAsia" w:ascii="仿宋_GB2312" w:eastAsia="仿宋_GB2312" w:cs="DengXian-Regular"/>
          <w:sz w:val="32"/>
          <w:szCs w:val="32"/>
          <w:lang w:eastAsia="zh-CN"/>
        </w:rPr>
        <w:t>）</w:t>
      </w:r>
    </w:p>
    <w:p>
      <w:pPr>
        <w:adjustRightInd w:val="0"/>
        <w:snapToGrid w:val="0"/>
        <w:spacing w:after="0" w:line="240" w:lineRule="auto"/>
        <w:ind w:firstLine="640" w:firstLineChars="200"/>
        <w:rPr>
          <w:rFonts w:ascii="仿宋_GB2312" w:eastAsia="仿宋_GB2312" w:cs="DengXian-Regular"/>
          <w:sz w:val="32"/>
          <w:szCs w:val="32"/>
        </w:rPr>
      </w:pPr>
      <w:r>
        <w:rPr>
          <w:rFonts w:ascii="仿宋_GB2312" w:eastAsia="仿宋_GB2312" w:cs="DengXian-Regular"/>
          <w:sz w:val="32"/>
          <w:szCs w:val="32"/>
        </w:rPr>
        <mc:AlternateContent>
          <mc:Choice Requires="wpg">
            <w:drawing>
              <wp:anchor distT="0" distB="0" distL="114300" distR="114300" simplePos="0" relativeHeight="251673600" behindDoc="0" locked="1" layoutInCell="1" allowOverlap="1">
                <wp:simplePos x="0" y="0"/>
                <wp:positionH relativeFrom="page">
                  <wp:posOffset>8255</wp:posOffset>
                </wp:positionH>
                <wp:positionV relativeFrom="page">
                  <wp:posOffset>248285</wp:posOffset>
                </wp:positionV>
                <wp:extent cx="3833495" cy="558165"/>
                <wp:effectExtent l="8255" t="635" r="0" b="12700"/>
                <wp:wrapNone/>
                <wp:docPr id="1132" name="Group 110"/>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1133" name="1074"/>
                        <wps:cNvSpPr>
                          <a:spLocks noChangeArrowheads="1"/>
                        </wps:cNvSpPr>
                        <wps:spPr bwMode="auto">
                          <a:xfrm>
                            <a:off x="4551" y="52615"/>
                            <a:ext cx="8546" cy="1175"/>
                          </a:xfrm>
                          <a:prstGeom prst="rect">
                            <a:avLst/>
                          </a:prstGeom>
                          <a:solidFill>
                            <a:srgbClr val="D8D8D8"/>
                          </a:solidFill>
                          <a:ln>
                            <a:noFill/>
                          </a:ln>
                        </wps:spPr>
                        <wps:bodyPr rot="0" vert="horz" wrap="square" lIns="91440" tIns="45720" rIns="91440" bIns="45720" anchor="t" anchorCtr="0" upright="1">
                          <a:noAutofit/>
                        </wps:bodyPr>
                      </wps:wsp>
                      <wps:wsp>
                        <wps:cNvPr id="1134" name="1075"/>
                        <wps:cNvSpPr>
                          <a:spLocks noChangeArrowheads="1"/>
                        </wps:cNvSpPr>
                        <wps:spPr bwMode="auto">
                          <a:xfrm>
                            <a:off x="4577" y="52890"/>
                            <a:ext cx="8324" cy="1123"/>
                          </a:xfrm>
                          <a:prstGeom prst="rect">
                            <a:avLst/>
                          </a:prstGeom>
                          <a:solidFill>
                            <a:srgbClr val="AD002D"/>
                          </a:solidFill>
                          <a:ln w="25400">
                            <a:solidFill>
                              <a:srgbClr val="AF7621"/>
                            </a:solidFill>
                            <a:miter lim="800000"/>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wps:txbx>
                        <wps:bodyPr rot="0" vert="horz" wrap="square" lIns="91440" tIns="45720" rIns="91440" bIns="45720" anchor="ctr" anchorCtr="0" upright="1">
                          <a:noAutofit/>
                        </wps:bodyPr>
                      </wps:wsp>
                    </wpg:wgp>
                  </a:graphicData>
                </a:graphic>
              </wp:anchor>
            </w:drawing>
          </mc:Choice>
          <mc:Fallback>
            <w:pict>
              <v:group id="Group 110" o:spid="_x0000_s1026" o:spt="203" style="position:absolute;left:0pt;margin-left:0.65pt;margin-top:19.55pt;height:43.95pt;width:301.85pt;mso-position-horizontal-relative:page;mso-position-vertical-relative:page;z-index:251673600;mso-width-relative:page;mso-height-relative:page;" coordorigin="4551,52615" coordsize="8546,1398" o:gfxdata="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">
                <o:lock v:ext="edit" aspectratio="f"/>
                <v:rect id="1074" o:spid="_x0000_s1026" o:spt="1" style="position:absolute;left:4551;top:52615;height:1175;width:8546;" fillcolor="#D8D8D8" filled="t" stroked="f" coordsize="21600,21600" o:gfxdata="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e6fmvQAA&#10;AN0AAAAPAAAAAAAAAAEAIAAAACIAAABkcnMvZG93bnJldi54bWxQSwECFAAUAAAACACHTuJAMy8F&#10;njsAAAA5AAAAEAAAAAAAAAABACAAAAAMAQAAZHJzL3NoYXBleG1sLnhtbFBLBQYAAAAABgAGAFsB&#10;AAC2AwAAAAA=&#10;">
                  <v:fill on="t" focussize="0,0"/>
                  <v:stroke on="f"/>
                  <v:imagedata o:title=""/>
                  <o:lock v:ext="edit" aspectratio="f"/>
                </v:rect>
                <v:rect id="1075" o:spid="_x0000_s1026" o:spt="1" style="position:absolute;left:4577;top:52890;height:1123;width:8324;v-text-anchor:middle;" fillcolor="#AD002D" filled="t" stroked="t" coordsize="21600,21600" o:gfxdata="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FWjKvQAA&#10;AN0AAAAPAAAAAAAAAAEAIAAAACIAAABkcnMvZG93bnJldi54bWxQSwECFAAUAAAACACHTuJAMy8F&#10;njsAAAA5AAAAEAAAAAAAAAABACAAAAAMAQAAZHJzL3NoYXBleG1sLnhtbFBLBQYAAAAABgAGAFsB&#10;AAC2AwAAAAA=&#10;">
                  <v:fill on="t" focussize="0,0"/>
                  <v:stroke weight="2pt" color="#AF7621" miterlimit="8" joinstyle="miter"/>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mc:Fallback>
        </mc:AlternateContent>
      </w:r>
    </w:p>
    <w:p>
      <w:pPr>
        <w:pStyle w:val="3"/>
        <w:spacing w:before="0" w:after="0" w:line="580" w:lineRule="exact"/>
        <w:ind w:firstLine="640" w:firstLineChars="200"/>
        <w:rPr>
          <w:rFonts w:ascii="黑体" w:eastAsia="黑体"/>
          <w:b w:val="0"/>
          <w:bCs w:val="0"/>
        </w:rPr>
      </w:pPr>
      <w:r>
        <w:rPr>
          <w:rFonts w:hint="eastAsia" w:ascii="黑体" w:eastAsia="黑体"/>
          <w:b w:val="0"/>
          <w:bCs w:val="0"/>
        </w:rPr>
        <w:t>四、</w:t>
      </w:r>
      <w:r>
        <w:rPr>
          <w:rFonts w:hint="eastAsia" w:ascii="黑体" w:hAnsi="Cambria" w:eastAsia="黑体" w:cs="黑体"/>
          <w:b w:val="0"/>
          <w:bCs w:val="0"/>
          <w:kern w:val="0"/>
        </w:rPr>
        <w:t>财政</w:t>
      </w:r>
      <w:r>
        <w:rPr>
          <w:rFonts w:hint="eastAsia" w:ascii="黑体" w:eastAsia="黑体"/>
          <w:b w:val="0"/>
          <w:bCs w:val="0"/>
        </w:rPr>
        <w:t>拨款收入支出决算情况说明</w:t>
      </w:r>
    </w:p>
    <w:p>
      <w:pPr>
        <w:spacing w:after="0" w:line="580" w:lineRule="exact"/>
        <w:ind w:firstLine="643" w:firstLineChars="200"/>
        <w:rPr>
          <w:rFonts w:ascii="楷体_GB2312" w:eastAsia="楷体_GB2312" w:cs="DengXian-Bold"/>
          <w:b/>
          <w:bCs/>
          <w:sz w:val="32"/>
          <w:szCs w:val="32"/>
        </w:rPr>
      </w:pPr>
      <w:r>
        <w:rPr>
          <w:rFonts w:hint="eastAsia" w:ascii="楷体_GB2312" w:eastAsia="楷体_GB2312" w:cs="DengXian-Bold"/>
          <w:b/>
          <w:bCs/>
          <w:sz w:val="32"/>
          <w:szCs w:val="32"/>
        </w:rPr>
        <w:t>（一）财政拨款收支与2017 年度决算对比情况</w:t>
      </w:r>
    </w:p>
    <w:p>
      <w:pPr>
        <w:spacing w:after="0" w:line="560" w:lineRule="exact"/>
        <w:ind w:firstLine="640" w:firstLineChars="200"/>
        <w:rPr>
          <w:rFonts w:hint="default" w:eastAsia="仿宋_GB2312"/>
          <w:sz w:val="32"/>
          <w:szCs w:val="32"/>
          <w:lang w:val="en-US" w:eastAsia="zh-CN"/>
        </w:rPr>
      </w:pPr>
      <w:r>
        <w:rPr>
          <w:rFonts w:hint="eastAsia" w:eastAsia="仿宋_GB2312"/>
          <w:sz w:val="32"/>
          <w:szCs w:val="32"/>
        </w:rPr>
        <w:t>本部门2018年度</w:t>
      </w:r>
      <w:r>
        <w:rPr>
          <w:rFonts w:hint="eastAsia" w:eastAsia="仿宋_GB2312"/>
          <w:sz w:val="32"/>
          <w:szCs w:val="32"/>
          <w:lang w:val="en-US" w:eastAsia="zh-CN"/>
        </w:rPr>
        <w:t>形成的</w:t>
      </w:r>
      <w:r>
        <w:rPr>
          <w:rFonts w:hint="eastAsia" w:eastAsia="仿宋_GB2312"/>
          <w:sz w:val="32"/>
          <w:szCs w:val="32"/>
        </w:rPr>
        <w:t>财政拨款</w:t>
      </w:r>
      <w:r>
        <w:rPr>
          <w:rFonts w:hint="eastAsia" w:eastAsia="仿宋_GB2312"/>
          <w:sz w:val="32"/>
          <w:szCs w:val="32"/>
          <w:lang w:val="en-US" w:eastAsia="zh-CN"/>
        </w:rPr>
        <w:t>收入均为一般公共预算财政拨款，其中一般公共预算拨款本年收入</w:t>
      </w:r>
      <w:r>
        <w:rPr>
          <w:rFonts w:hint="eastAsia" w:eastAsia="仿宋_GB2312"/>
          <w:sz w:val="32"/>
          <w:szCs w:val="32"/>
        </w:rPr>
        <w:t>27275.46万元,比2017年度增加4502.84万元，增长19.77%，主要原因是环保系统垂改上收了19个分局，增加了公用经费的预算，同时也增加了部门专项项目的预算；本年支出</w:t>
      </w:r>
      <w:r>
        <w:rPr>
          <w:rFonts w:hint="eastAsia" w:eastAsia="仿宋_GB2312"/>
          <w:sz w:val="32"/>
          <w:szCs w:val="32"/>
          <w:lang w:val="en-US" w:eastAsia="zh-CN"/>
        </w:rPr>
        <w:t>27801.25</w:t>
      </w:r>
      <w:r>
        <w:rPr>
          <w:rFonts w:hint="eastAsia" w:eastAsia="仿宋_GB2312"/>
          <w:sz w:val="32"/>
          <w:szCs w:val="32"/>
        </w:rPr>
        <w:t>万元，增加1</w:t>
      </w:r>
      <w:r>
        <w:rPr>
          <w:rFonts w:hint="eastAsia" w:eastAsia="仿宋_GB2312"/>
          <w:sz w:val="32"/>
          <w:szCs w:val="32"/>
          <w:lang w:val="en-US" w:eastAsia="zh-CN"/>
        </w:rPr>
        <w:t>1073.44</w:t>
      </w:r>
      <w:r>
        <w:rPr>
          <w:rFonts w:hint="eastAsia" w:eastAsia="仿宋_GB2312"/>
          <w:sz w:val="32"/>
          <w:szCs w:val="32"/>
        </w:rPr>
        <w:t>万元，增长</w:t>
      </w:r>
      <w:r>
        <w:rPr>
          <w:rFonts w:hint="eastAsia" w:eastAsia="仿宋_GB2312"/>
          <w:sz w:val="32"/>
          <w:szCs w:val="32"/>
          <w:lang w:val="en-US" w:eastAsia="zh-CN"/>
        </w:rPr>
        <w:t>66.20</w:t>
      </w:r>
      <w:r>
        <w:rPr>
          <w:rFonts w:hint="eastAsia" w:eastAsia="仿宋_GB2312"/>
          <w:sz w:val="32"/>
          <w:szCs w:val="32"/>
        </w:rPr>
        <w:t>%，主要原因是，环保系统垂改后上收的19个分局公用支出，同时市财政加大了我部门专项项目的支出。</w:t>
      </w:r>
    </w:p>
    <w:p>
      <w:pPr>
        <w:adjustRightInd w:val="0"/>
        <w:snapToGrid w:val="0"/>
        <w:spacing w:after="0" w:line="600" w:lineRule="exact"/>
        <w:ind w:firstLine="640" w:firstLineChars="200"/>
        <w:rPr>
          <w:rFonts w:ascii="仿宋_GB2312" w:eastAsia="仿宋_GB2312" w:cs="DengXian-Regular"/>
          <w:sz w:val="32"/>
          <w:szCs w:val="32"/>
        </w:rPr>
      </w:pPr>
    </w:p>
    <w:p>
      <w:pPr>
        <w:adjustRightInd w:val="0"/>
        <w:snapToGrid w:val="0"/>
        <w:spacing w:after="0" w:line="240" w:lineRule="auto"/>
        <w:ind w:firstLine="640" w:firstLineChars="200"/>
        <w:jc w:val="center"/>
        <w:rPr>
          <w:rFonts w:ascii="仿宋_GB2312" w:eastAsia="仿宋_GB2312" w:cs="DengXian-Regular"/>
          <w:sz w:val="32"/>
          <w:szCs w:val="32"/>
        </w:rPr>
      </w:pPr>
      <w:r>
        <w:rPr>
          <w:rFonts w:ascii="仿宋_GB2312" w:eastAsia="仿宋_GB2312" w:cs="DengXian-Regular"/>
          <w:sz w:val="32"/>
          <w:szCs w:val="32"/>
        </w:rPr>
        <w:drawing>
          <wp:inline distT="0" distB="0" distL="0" distR="0">
            <wp:extent cx="4638675" cy="2847975"/>
            <wp:effectExtent l="0" t="0" r="9525" b="1905"/>
            <wp:docPr id="1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adjustRightInd w:val="0"/>
        <w:snapToGrid w:val="0"/>
        <w:spacing w:after="0" w:line="240" w:lineRule="auto"/>
        <w:ind w:firstLine="560" w:firstLineChars="200"/>
        <w:jc w:val="center"/>
        <w:rPr>
          <w:rFonts w:ascii="仿宋_GB2312" w:eastAsia="仿宋_GB2312" w:cs="DengXian-Regular"/>
          <w:sz w:val="28"/>
          <w:szCs w:val="28"/>
        </w:rPr>
      </w:pPr>
      <w:r>
        <w:rPr>
          <w:rFonts w:hint="eastAsia" w:ascii="仿宋_GB2312" w:eastAsia="仿宋_GB2312" w:cs="DengXian-Regular"/>
          <w:sz w:val="28"/>
          <w:szCs w:val="28"/>
          <w:lang w:val="en-US" w:eastAsia="zh-CN"/>
        </w:rPr>
        <w:t>图三：</w:t>
      </w:r>
      <w:r>
        <w:rPr>
          <w:rFonts w:hint="eastAsia" w:ascii="仿宋_GB2312" w:eastAsia="仿宋_GB2312" w:cs="DengXian-Regular"/>
          <w:sz w:val="28"/>
          <w:szCs w:val="28"/>
        </w:rPr>
        <w:t>2017-2018</w:t>
      </w:r>
      <w:r>
        <w:rPr>
          <w:rFonts w:hint="eastAsia" w:ascii="仿宋_GB2312" w:eastAsia="仿宋_GB2312" w:cs="DengXian-Regular"/>
          <w:sz w:val="28"/>
          <w:szCs w:val="28"/>
          <w:lang w:val="en-US" w:eastAsia="zh-CN"/>
        </w:rPr>
        <w:t>年</w:t>
      </w:r>
      <w:r>
        <w:rPr>
          <w:rFonts w:hint="eastAsia" w:ascii="仿宋_GB2312" w:eastAsia="仿宋_GB2312" w:cs="DengXian-Regular"/>
          <w:sz w:val="28"/>
          <w:szCs w:val="28"/>
        </w:rPr>
        <w:t>财政拨款收支情况</w:t>
      </w:r>
    </w:p>
    <w:p>
      <w:pPr>
        <w:adjustRightInd w:val="0"/>
        <w:snapToGrid w:val="0"/>
        <w:spacing w:after="0" w:line="60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（二）财政拨款收支与年初预算数对比情况</w:t>
      </w:r>
    </w:p>
    <w:p>
      <w:pPr>
        <w:spacing w:after="0" w:line="560" w:lineRule="exact"/>
        <w:ind w:firstLine="640" w:firstLineChars="200"/>
        <w:rPr>
          <w:rFonts w:hint="eastAsia" w:eastAsia="仿宋_GB2312"/>
          <w:sz w:val="32"/>
          <w:szCs w:val="32"/>
          <w:highlight w:val="yellow"/>
        </w:rPr>
      </w:pPr>
      <w:r>
        <w:rPr>
          <w:rFonts w:hint="eastAsia" w:eastAsia="仿宋_GB2312"/>
          <w:sz w:val="32"/>
          <w:szCs w:val="32"/>
        </w:rPr>
        <w:t>本部门2018年度</w:t>
      </w:r>
      <w:r>
        <w:rPr>
          <w:rFonts w:hint="eastAsia" w:eastAsia="仿宋_GB2312"/>
          <w:sz w:val="32"/>
          <w:szCs w:val="32"/>
          <w:lang w:val="en-US" w:eastAsia="zh-CN"/>
        </w:rPr>
        <w:t>一般公共预算</w:t>
      </w:r>
      <w:r>
        <w:rPr>
          <w:rFonts w:hint="eastAsia" w:eastAsia="仿宋_GB2312"/>
          <w:sz w:val="32"/>
          <w:szCs w:val="32"/>
        </w:rPr>
        <w:t>财政拨款收入</w:t>
      </w:r>
      <w:r>
        <w:rPr>
          <w:rFonts w:hint="eastAsia" w:eastAsia="仿宋_GB2312"/>
          <w:sz w:val="32"/>
          <w:szCs w:val="32"/>
          <w:highlight w:val="none"/>
        </w:rPr>
        <w:t>27275.46万元，完成年初预算的108.5</w:t>
      </w:r>
      <w:r>
        <w:rPr>
          <w:rFonts w:hint="eastAsia" w:eastAsia="仿宋_GB2312"/>
          <w:sz w:val="32"/>
          <w:szCs w:val="32"/>
          <w:highlight w:val="none"/>
          <w:lang w:val="en-US" w:eastAsia="zh-CN"/>
        </w:rPr>
        <w:t>2</w:t>
      </w:r>
      <w:r>
        <w:rPr>
          <w:rFonts w:hint="eastAsia" w:eastAsia="仿宋_GB2312"/>
          <w:sz w:val="32"/>
          <w:szCs w:val="32"/>
          <w:highlight w:val="none"/>
        </w:rPr>
        <w:t>%（如图</w:t>
      </w:r>
      <w:r>
        <w:rPr>
          <w:rFonts w:hint="eastAsia" w:eastAsia="仿宋_GB2312"/>
          <w:sz w:val="32"/>
          <w:szCs w:val="32"/>
          <w:highlight w:val="none"/>
          <w:lang w:val="en-US" w:eastAsia="zh-CN"/>
        </w:rPr>
        <w:t>四</w:t>
      </w:r>
      <w:r>
        <w:rPr>
          <w:rFonts w:hint="eastAsia" w:eastAsia="仿宋_GB2312"/>
          <w:sz w:val="32"/>
          <w:szCs w:val="32"/>
          <w:highlight w:val="none"/>
        </w:rPr>
        <w:t>）,比年初预算增加2141.32万元，决算数大于预算数主要原因是由于上收了19个分局，调增了2018年预算；</w:t>
      </w:r>
      <w:r>
        <w:rPr>
          <w:rFonts w:hint="eastAsia" w:eastAsia="仿宋_GB2312"/>
          <w:sz w:val="32"/>
          <w:szCs w:val="32"/>
        </w:rPr>
        <w:t>本年支出</w:t>
      </w:r>
      <w:r>
        <w:rPr>
          <w:rFonts w:hint="eastAsia" w:eastAsia="仿宋_GB2312"/>
          <w:sz w:val="32"/>
          <w:szCs w:val="32"/>
          <w:lang w:val="en-US" w:eastAsia="zh-CN"/>
        </w:rPr>
        <w:t>27801.25</w:t>
      </w:r>
      <w:r>
        <w:rPr>
          <w:rFonts w:hint="eastAsia" w:eastAsia="仿宋_GB2312"/>
          <w:sz w:val="32"/>
          <w:szCs w:val="32"/>
        </w:rPr>
        <w:t>万元，完成年初预算的</w:t>
      </w:r>
      <w:r>
        <w:rPr>
          <w:rFonts w:hint="eastAsia" w:eastAsia="仿宋_GB2312"/>
          <w:sz w:val="32"/>
          <w:szCs w:val="32"/>
          <w:lang w:val="en-US" w:eastAsia="zh-CN"/>
        </w:rPr>
        <w:t>110.61</w:t>
      </w:r>
      <w:r>
        <w:rPr>
          <w:rFonts w:hint="eastAsia" w:eastAsia="仿宋_GB2312"/>
          <w:sz w:val="32"/>
          <w:szCs w:val="32"/>
          <w:highlight w:val="none"/>
        </w:rPr>
        <w:t>%，</w:t>
      </w:r>
      <w:r>
        <w:rPr>
          <w:rFonts w:hint="eastAsia" w:eastAsia="仿宋_GB2312"/>
          <w:sz w:val="32"/>
          <w:szCs w:val="32"/>
        </w:rPr>
        <w:t>比年初预算增加</w:t>
      </w:r>
      <w:r>
        <w:rPr>
          <w:rFonts w:hint="eastAsia" w:eastAsia="仿宋_GB2312"/>
          <w:sz w:val="32"/>
          <w:szCs w:val="32"/>
          <w:lang w:val="en-US" w:eastAsia="zh-CN"/>
        </w:rPr>
        <w:t>2667.11</w:t>
      </w:r>
      <w:r>
        <w:rPr>
          <w:rFonts w:hint="eastAsia" w:eastAsia="仿宋_GB2312"/>
          <w:sz w:val="32"/>
          <w:szCs w:val="32"/>
        </w:rPr>
        <w:t>万元，决算数大于预算数主要原因是年初结转的资金本年度支出，年中追加预算增加以及县区分局支出的本级财政的拨款。</w:t>
      </w:r>
    </w:p>
    <w:p>
      <w:pPr>
        <w:adjustRightInd w:val="0"/>
        <w:snapToGrid w:val="0"/>
        <w:spacing w:after="0" w:line="600" w:lineRule="exact"/>
        <w:ind w:firstLine="640" w:firstLineChars="200"/>
        <w:rPr>
          <w:rFonts w:ascii="仿宋_GB2312" w:eastAsia="仿宋_GB2312" w:cs="DengXian-Regular"/>
          <w:sz w:val="32"/>
          <w:szCs w:val="32"/>
          <w:highlight w:val="yellow"/>
        </w:rPr>
      </w:pPr>
    </w:p>
    <w:p>
      <w:pPr>
        <w:adjustRightInd w:val="0"/>
        <w:snapToGrid w:val="0"/>
        <w:spacing w:after="0" w:line="240" w:lineRule="auto"/>
        <w:ind w:firstLine="640" w:firstLineChars="200"/>
        <w:jc w:val="left"/>
        <w:rPr>
          <w:rFonts w:ascii="仿宋_GB2312" w:eastAsia="仿宋_GB2312" w:cs="DengXian-Regular"/>
          <w:sz w:val="32"/>
          <w:szCs w:val="32"/>
        </w:rPr>
      </w:pPr>
      <w:r>
        <w:rPr>
          <w:rFonts w:hint="eastAsia" w:ascii="仿宋_GB2312" w:eastAsia="仿宋_GB2312" w:cs="DengXian-Regular"/>
          <w:sz w:val="32"/>
          <w:szCs w:val="32"/>
        </w:rPr>
        <w:drawing>
          <wp:inline distT="0" distB="0" distL="0" distR="0">
            <wp:extent cx="4181475" cy="2676525"/>
            <wp:effectExtent l="0" t="0" r="9525" b="9525"/>
            <wp:docPr id="1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adjustRightInd w:val="0"/>
        <w:snapToGrid w:val="0"/>
        <w:spacing w:after="0" w:line="240" w:lineRule="auto"/>
        <w:ind w:firstLine="560" w:firstLineChars="200"/>
        <w:jc w:val="center"/>
        <w:rPr>
          <w:rFonts w:ascii="仿宋_GB2312" w:eastAsia="仿宋_GB2312" w:cs="DengXian-Regular"/>
          <w:sz w:val="28"/>
          <w:szCs w:val="28"/>
        </w:rPr>
      </w:pPr>
      <w:r>
        <w:rPr>
          <w:rFonts w:hint="eastAsia" w:ascii="仿宋_GB2312" w:eastAsia="仿宋_GB2312" w:cs="DengXian-Regular"/>
          <w:sz w:val="28"/>
          <w:szCs w:val="28"/>
        </w:rPr>
        <w:t>图四：财政拨款收支预决算情况对比表</w:t>
      </w:r>
    </w:p>
    <w:p>
      <w:pPr>
        <w:adjustRightInd w:val="0"/>
        <w:snapToGrid w:val="0"/>
        <w:spacing w:after="0" w:line="240" w:lineRule="auto"/>
        <w:ind w:firstLine="640" w:firstLineChars="200"/>
        <w:rPr>
          <w:rFonts w:ascii="仿宋_GB2312" w:eastAsia="仿宋_GB2312" w:cs="DengXian-Regular"/>
          <w:sz w:val="32"/>
          <w:szCs w:val="32"/>
        </w:rPr>
      </w:pPr>
    </w:p>
    <w:p>
      <w:pPr>
        <w:numPr>
          <w:ilvl w:val="0"/>
          <w:numId w:val="1"/>
        </w:num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财政拨款支出决算结构情况</w:t>
      </w:r>
    </w:p>
    <w:p>
      <w:pPr>
        <w:adjustRightInd w:val="0"/>
        <w:snapToGrid w:val="0"/>
        <w:spacing w:after="0" w:line="60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2018 年度财政拨款支出</w:t>
      </w:r>
      <w:r>
        <w:rPr>
          <w:rFonts w:hint="eastAsia" w:ascii="仿宋_GB2312" w:eastAsia="仿宋_GB2312" w:cs="DengXian-Regular"/>
          <w:sz w:val="32"/>
          <w:szCs w:val="32"/>
          <w:lang w:val="en-US" w:eastAsia="zh-CN"/>
        </w:rPr>
        <w:t>27801.25</w:t>
      </w:r>
      <w:r>
        <w:rPr>
          <w:rFonts w:hint="eastAsia" w:ascii="仿宋_GB2312" w:eastAsia="仿宋_GB2312" w:cs="DengXian-Regular"/>
          <w:sz w:val="32"/>
          <w:szCs w:val="32"/>
        </w:rPr>
        <w:t>万元，主要用于以下方面：一般公共服务支出13.83万元，占0.0</w:t>
      </w:r>
      <w:r>
        <w:rPr>
          <w:rFonts w:hint="eastAsia" w:ascii="仿宋_GB2312" w:eastAsia="仿宋_GB2312" w:cs="DengXian-Regular"/>
          <w:sz w:val="32"/>
          <w:szCs w:val="32"/>
          <w:lang w:val="en-US" w:eastAsia="zh-CN"/>
        </w:rPr>
        <w:t>5</w:t>
      </w:r>
      <w:r>
        <w:rPr>
          <w:rFonts w:hint="eastAsia" w:ascii="仿宋_GB2312" w:eastAsia="仿宋_GB2312" w:cs="DengXian-Regular"/>
          <w:sz w:val="32"/>
          <w:szCs w:val="32"/>
        </w:rPr>
        <w:t>%；教育支出38.42万元，占0.1</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%；社</w:t>
      </w:r>
      <w:r>
        <w:rPr>
          <w:rFonts w:ascii="仿宋_GB2312" w:eastAsia="仿宋_GB2312" w:cs="DengXian-Regular"/>
          <w:sz w:val="32"/>
          <w:szCs w:val="32"/>
          <w:lang w:val="zh-CN"/>
        </w:rPr>
        <mc:AlternateContent>
          <mc:Choice Requires="wpg">
            <w:drawing>
              <wp:anchor distT="0" distB="0" distL="114300" distR="114300" simplePos="0" relativeHeight="251687936" behindDoc="0" locked="1" layoutInCell="1" allowOverlap="1">
                <wp:simplePos x="0" y="0"/>
                <wp:positionH relativeFrom="page">
                  <wp:posOffset>8255</wp:posOffset>
                </wp:positionH>
                <wp:positionV relativeFrom="page">
                  <wp:posOffset>271145</wp:posOffset>
                </wp:positionV>
                <wp:extent cx="3833495" cy="558165"/>
                <wp:effectExtent l="1270" t="0" r="5715" b="20955"/>
                <wp:wrapNone/>
                <wp:docPr id="32" name="Group 119"/>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1123" name="1074"/>
                        <wps:cNvSpPr>
                          <a:spLocks noChangeArrowheads="1"/>
                        </wps:cNvSpPr>
                        <wps:spPr bwMode="auto">
                          <a:xfrm>
                            <a:off x="4551" y="52615"/>
                            <a:ext cx="8546" cy="1175"/>
                          </a:xfrm>
                          <a:prstGeom prst="rect">
                            <a:avLst/>
                          </a:prstGeom>
                          <a:solidFill>
                            <a:srgbClr val="D8D8D8"/>
                          </a:solidFill>
                          <a:ln>
                            <a:noFill/>
                          </a:ln>
                        </wps:spPr>
                        <wps:bodyPr rot="0" vert="horz" wrap="square" lIns="91440" tIns="45720" rIns="91440" bIns="45720" anchor="t" anchorCtr="0" upright="1">
                          <a:noAutofit/>
                        </wps:bodyPr>
                      </wps:wsp>
                      <wps:wsp>
                        <wps:cNvPr id="1124" name="1075"/>
                        <wps:cNvSpPr>
                          <a:spLocks noChangeArrowheads="1"/>
                        </wps:cNvSpPr>
                        <wps:spPr bwMode="auto">
                          <a:xfrm>
                            <a:off x="4577" y="52890"/>
                            <a:ext cx="8324" cy="1123"/>
                          </a:xfrm>
                          <a:prstGeom prst="rect">
                            <a:avLst/>
                          </a:prstGeom>
                          <a:solidFill>
                            <a:srgbClr val="AD002D"/>
                          </a:solidFill>
                          <a:ln w="25400">
                            <a:solidFill>
                              <a:srgbClr val="AF7621"/>
                            </a:solidFill>
                            <a:miter lim="800000"/>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wps:txbx>
                        <wps:bodyPr rot="0" vert="horz" wrap="square" lIns="91440" tIns="45720" rIns="91440" bIns="45720" anchor="ctr" anchorCtr="0" upright="1">
                          <a:noAutofit/>
                        </wps:bodyPr>
                      </wps:wsp>
                    </wpg:wgp>
                  </a:graphicData>
                </a:graphic>
              </wp:anchor>
            </w:drawing>
          </mc:Choice>
          <mc:Fallback>
            <w:pict>
              <v:group id="Group 119" o:spid="_x0000_s1026" o:spt="203" style="position:absolute;left:0pt;margin-left:0.65pt;margin-top:21.35pt;height:43.95pt;width:301.85pt;mso-position-horizontal-relative:page;mso-position-vertical-relative:page;z-index:251687936;mso-width-relative:page;mso-height-relative:page;" coordorigin="4551,52615" coordsize="8546,1398" o:gfxdata="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NEjiR3XAAAACAEAAA8AAAAAAAAAAQAgAAAAIgAAAGRycy9k&#10;b3ducmV2LnhtbFBLAQIUABQAAAAIAIdO4kDMI53x5wIAAPoHAAAOAAAAAAAAAAEAIAAAACYBAABk&#10;cnMvZTJvRG9jLnhtbFBLBQYAAAAABgAGAFkBAAB/BgAAAAA=&#10;">
                <o:lock v:ext="edit" aspectratio="f"/>
                <v:rect id="1074" o:spid="_x0000_s1026" o:spt="1" style="position:absolute;left:4551;top:52615;height:1175;width:8546;" fillcolor="#D8D8D8" filled="t" stroked="f" coordsize="21600,21600" o:gfxdata="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ojE7vQAA&#10;AN0AAAAPAAAAAAAAAAEAIAAAACIAAABkcnMvZG93bnJldi54bWxQSwECFAAUAAAACACHTuJAMy8F&#10;njsAAAA5AAAAEAAAAAAAAAABACAAAAAMAQAAZHJzL3NoYXBleG1sLnhtbFBLBQYAAAAABgAGAFsB&#10;AAC2AwAAAAA=&#10;">
                  <v:fill on="t" focussize="0,0"/>
                  <v:stroke on="f"/>
                  <v:imagedata o:title=""/>
                  <o:lock v:ext="edit" aspectratio="f"/>
                </v:rect>
                <v:rect id="1075" o:spid="_x0000_s1026" o:spt="1" style="position:absolute;left:4577;top:52890;height:1123;width:8324;v-text-anchor:middle;" fillcolor="#AD002D" filled="t" stroked="t" coordsize="21600,21600" o:gfxdata="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zP4XvQAA&#10;AN0AAAAPAAAAAAAAAAEAIAAAACIAAABkcnMvZG93bnJldi54bWxQSwECFAAUAAAACACHTuJAMy8F&#10;njsAAAA5AAAAEAAAAAAAAAABACAAAAAMAQAAZHJzL3NoYXBleG1sLnhtbFBLBQYAAAAABgAGAFsB&#10;AAC2AwAAAAA=&#10;">
                  <v:fill on="t" focussize="0,0"/>
                  <v:stroke weight="2pt" color="#AF7621" miterlimit="8" joinstyle="miter"/>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mc:Fallback>
        </mc:AlternateContent>
      </w:r>
      <w:r>
        <w:rPr>
          <w:rFonts w:hint="eastAsia" w:ascii="仿宋_GB2312" w:eastAsia="仿宋_GB2312" w:cs="DengXian-Regular"/>
          <w:sz w:val="32"/>
          <w:szCs w:val="32"/>
        </w:rPr>
        <w:t xml:space="preserve">会保障和就业支出 </w:t>
      </w:r>
      <w:r>
        <w:rPr>
          <w:rFonts w:hint="eastAsia" w:ascii="仿宋_GB2312" w:eastAsia="仿宋_GB2312" w:cs="DengXian-Regular"/>
          <w:sz w:val="32"/>
          <w:szCs w:val="32"/>
          <w:lang w:val="en-US" w:eastAsia="zh-CN"/>
        </w:rPr>
        <w:t>1490.93</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5.36</w:t>
      </w:r>
      <w:r>
        <w:rPr>
          <w:rFonts w:hint="eastAsia" w:ascii="仿宋_GB2312" w:eastAsia="仿宋_GB2312" w:cs="DengXian-Regular"/>
          <w:sz w:val="32"/>
          <w:szCs w:val="32"/>
        </w:rPr>
        <w:t>%；医疗卫生与计划生育</w:t>
      </w:r>
      <w:r>
        <w:rPr>
          <w:rFonts w:hint="eastAsia" w:ascii="仿宋_GB2312" w:eastAsia="仿宋_GB2312" w:cs="DengXian-Regular"/>
          <w:sz w:val="32"/>
          <w:szCs w:val="32"/>
          <w:lang w:val="en-US" w:eastAsia="zh-CN"/>
        </w:rPr>
        <w:t>支出</w:t>
      </w:r>
      <w:r>
        <w:rPr>
          <w:rFonts w:hint="eastAsia" w:ascii="仿宋_GB2312" w:eastAsia="仿宋_GB2312" w:cs="DengXian-Regular"/>
          <w:sz w:val="32"/>
          <w:szCs w:val="32"/>
        </w:rPr>
        <w:t>11</w:t>
      </w:r>
      <w:r>
        <w:rPr>
          <w:rFonts w:hint="eastAsia" w:ascii="仿宋_GB2312" w:eastAsia="仿宋_GB2312" w:cs="DengXian-Regular"/>
          <w:sz w:val="32"/>
          <w:szCs w:val="32"/>
          <w:lang w:val="en-US" w:eastAsia="zh-CN"/>
        </w:rPr>
        <w:t>54.15</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4.15</w:t>
      </w:r>
      <w:r>
        <w:rPr>
          <w:rFonts w:hint="eastAsia" w:ascii="仿宋_GB2312" w:eastAsia="仿宋_GB2312" w:cs="DengXian-Regular"/>
          <w:sz w:val="32"/>
          <w:szCs w:val="32"/>
        </w:rPr>
        <w:t>%；节能环保支出</w:t>
      </w:r>
      <w:r>
        <w:rPr>
          <w:rFonts w:hint="eastAsia" w:ascii="仿宋_GB2312" w:eastAsia="仿宋_GB2312" w:cs="DengXian-Regular"/>
          <w:sz w:val="32"/>
          <w:szCs w:val="32"/>
          <w:lang w:val="en-US" w:eastAsia="zh-CN"/>
        </w:rPr>
        <w:t>24363.86</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87.64</w:t>
      </w:r>
      <w:r>
        <w:rPr>
          <w:rFonts w:hint="eastAsia" w:ascii="仿宋_GB2312" w:eastAsia="仿宋_GB2312" w:cs="DengXian-Regular"/>
          <w:sz w:val="32"/>
          <w:szCs w:val="32"/>
        </w:rPr>
        <w:t>%；住房保障支出7</w:t>
      </w:r>
      <w:r>
        <w:rPr>
          <w:rFonts w:hint="eastAsia" w:ascii="仿宋_GB2312" w:eastAsia="仿宋_GB2312" w:cs="DengXian-Regular"/>
          <w:sz w:val="32"/>
          <w:szCs w:val="32"/>
          <w:lang w:val="en-US" w:eastAsia="zh-CN"/>
        </w:rPr>
        <w:t>40.06</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2.66</w:t>
      </w:r>
      <w:r>
        <w:rPr>
          <w:rFonts w:hint="eastAsia" w:ascii="仿宋_GB2312" w:eastAsia="仿宋_GB2312" w:cs="DengXian-Regular"/>
          <w:sz w:val="32"/>
          <w:szCs w:val="32"/>
        </w:rPr>
        <w:t>%。</w:t>
      </w:r>
    </w:p>
    <w:p>
      <w:pPr>
        <w:adjustRightInd w:val="0"/>
        <w:snapToGrid w:val="0"/>
        <w:spacing w:after="0" w:line="240" w:lineRule="auto"/>
        <w:jc w:val="center"/>
        <w:rPr>
          <w:rFonts w:ascii="仿宋_GB2312" w:eastAsia="仿宋_GB2312" w:cs="DengXian-Bold"/>
          <w:b/>
          <w:bCs/>
          <w:sz w:val="32"/>
          <w:szCs w:val="32"/>
        </w:rPr>
      </w:pPr>
      <w:r>
        <w:rPr>
          <w:rFonts w:ascii="仿宋_GB2312" w:eastAsia="仿宋_GB2312" w:cs="DengXian-Bold"/>
          <w:b/>
          <w:bCs/>
          <w:sz w:val="32"/>
          <w:szCs w:val="32"/>
        </w:rPr>
        <w:drawing>
          <wp:inline distT="0" distB="0" distL="0" distR="0">
            <wp:extent cx="5728970" cy="3000375"/>
            <wp:effectExtent l="0" t="0" r="1270" b="1905"/>
            <wp:docPr id="2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adjustRightInd w:val="0"/>
        <w:snapToGrid w:val="0"/>
        <w:spacing w:after="0" w:line="240" w:lineRule="auto"/>
        <w:rPr>
          <w:rFonts w:ascii="楷体_GB2312" w:eastAsia="楷体_GB2312" w:cs="DengXian-Bold"/>
          <w:b/>
          <w:bCs/>
          <w:sz w:val="32"/>
          <w:szCs w:val="32"/>
        </w:rPr>
      </w:pPr>
    </w:p>
    <w:p>
      <w:pPr>
        <w:adjustRightInd w:val="0"/>
        <w:snapToGrid w:val="0"/>
        <w:spacing w:after="0" w:line="240" w:lineRule="auto"/>
        <w:jc w:val="center"/>
        <w:rPr>
          <w:rFonts w:ascii="仿宋_GB2312" w:eastAsia="仿宋_GB2312" w:cs="DengXian-Bold"/>
          <w:bCs/>
          <w:sz w:val="28"/>
          <w:szCs w:val="28"/>
        </w:rPr>
      </w:pPr>
      <w:r>
        <w:rPr>
          <w:rFonts w:hint="eastAsia" w:ascii="仿宋_GB2312" w:eastAsia="仿宋_GB2312" w:cs="DengXian-Bold"/>
          <w:bCs/>
          <w:sz w:val="28"/>
          <w:szCs w:val="28"/>
          <w:lang w:val="en-US" w:eastAsia="zh-CN"/>
        </w:rPr>
        <w:t>图五：</w:t>
      </w:r>
      <w:r>
        <w:rPr>
          <w:rFonts w:hint="eastAsia" w:ascii="仿宋_GB2312" w:eastAsia="仿宋_GB2312" w:cs="DengXian-Bold"/>
          <w:bCs/>
          <w:sz w:val="28"/>
          <w:szCs w:val="28"/>
        </w:rPr>
        <w:t>财政拨款支出决算结构（按功能分类）</w:t>
      </w:r>
    </w:p>
    <w:p>
      <w:p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（四）一般公共预算</w:t>
      </w:r>
      <w:r>
        <w:rPr>
          <w:rFonts w:hint="eastAsia" w:ascii="楷体_GB2312" w:eastAsia="楷体_GB2312" w:cs="DengXian-Bold"/>
          <w:b/>
          <w:bCs/>
          <w:sz w:val="32"/>
          <w:szCs w:val="32"/>
          <w:lang w:val="en-US" w:eastAsia="zh-CN"/>
        </w:rPr>
        <w:t>财政拨款</w:t>
      </w:r>
      <w:r>
        <w:rPr>
          <w:rFonts w:hint="eastAsia" w:ascii="楷体_GB2312" w:eastAsia="楷体_GB2312" w:cs="DengXian-Bold"/>
          <w:b/>
          <w:bCs/>
          <w:sz w:val="32"/>
          <w:szCs w:val="32"/>
        </w:rPr>
        <w:t>基本支出决算情况说明</w:t>
      </w:r>
    </w:p>
    <w:p>
      <w:pPr>
        <w:adjustRightInd w:val="0"/>
        <w:snapToGrid w:val="0"/>
        <w:spacing w:after="0" w:line="600" w:lineRule="exact"/>
        <w:ind w:firstLine="640" w:firstLineChars="200"/>
        <w:rPr>
          <w:rFonts w:ascii="仿宋_GB2312" w:eastAsia="仿宋_GB2312" w:cs="DengXian-Regular"/>
          <w:sz w:val="32"/>
          <w:szCs w:val="32"/>
        </w:rPr>
      </w:pPr>
      <w:r>
        <w:rPr>
          <w:rFonts w:hint="eastAsia" w:eastAsia="仿宋_GB2312"/>
          <w:sz w:val="32"/>
          <w:szCs w:val="32"/>
        </w:rPr>
        <w:t>2018年度</w:t>
      </w:r>
      <w:r>
        <w:rPr>
          <w:rFonts w:hint="eastAsia" w:eastAsia="仿宋_GB2312"/>
          <w:sz w:val="32"/>
          <w:szCs w:val="32"/>
          <w:lang w:val="en-US" w:eastAsia="zh-CN"/>
        </w:rPr>
        <w:t>一般公共预算</w:t>
      </w:r>
      <w:r>
        <w:rPr>
          <w:rFonts w:hint="eastAsia" w:eastAsia="仿宋_GB2312"/>
          <w:sz w:val="32"/>
          <w:szCs w:val="32"/>
        </w:rPr>
        <w:t>财政拨款基本支出</w:t>
      </w:r>
      <w:r>
        <w:rPr>
          <w:rFonts w:hint="eastAsia" w:eastAsia="仿宋_GB2312"/>
          <w:sz w:val="32"/>
          <w:szCs w:val="32"/>
          <w:lang w:val="en-US" w:eastAsia="zh-CN"/>
        </w:rPr>
        <w:t>16052.74</w:t>
      </w:r>
      <w:r>
        <w:rPr>
          <w:rFonts w:hint="eastAsia" w:eastAsia="仿宋_GB2312"/>
          <w:sz w:val="32"/>
          <w:szCs w:val="32"/>
        </w:rPr>
        <w:t>万元，其中：人员经费13420.</w:t>
      </w:r>
      <w:r>
        <w:rPr>
          <w:rFonts w:hint="eastAsia" w:eastAsia="仿宋_GB2312"/>
          <w:sz w:val="32"/>
          <w:szCs w:val="32"/>
          <w:lang w:val="en-US" w:eastAsia="zh-CN"/>
        </w:rPr>
        <w:t>70</w:t>
      </w:r>
      <w:r>
        <w:rPr>
          <w:rFonts w:hint="eastAsia" w:eastAsia="仿宋_GB2312"/>
          <w:sz w:val="32"/>
          <w:szCs w:val="32"/>
        </w:rPr>
        <w:t>万元，主要包括基本工资、津贴补贴、奖金、绩效工资、机关事业单位基本养老保险缴费、职业年金缴费、职工基本医疗保险缴费、公务员医疗补助缴费、其他社会保障缴费、住房公积金、医疗费、其他工资福利支出、离休费、退休费、抚恤金、生活补助、奖励金、其他对个人和家庭的补助支出；公用经费2632.04万元，主要包括办公费、印刷费、咨询费、水费、电费、邮电费、取暖费、物业管理费、差旅费、维修（护）费、租赁费、会议费、培训费、公务接待费、专用材料费、劳务费、委托业务费、工会经费、福利费、公务用车运行维护费、其</w:t>
      </w:r>
      <w:r>
        <w:rPr>
          <w:rFonts w:hint="eastAsia" w:eastAsia="仿宋_GB2312"/>
          <w:sz w:val="32"/>
          <w:szCs w:val="32"/>
          <w:lang w:val="zh-CN"/>
        </w:rPr>
        <mc:AlternateContent>
          <mc:Choice Requires="wpg">
            <w:drawing>
              <wp:anchor distT="0" distB="0" distL="114300" distR="114300" simplePos="0" relativeHeight="251674624" behindDoc="0" locked="1" layoutInCell="1" allowOverlap="1">
                <wp:simplePos x="0" y="0"/>
                <wp:positionH relativeFrom="page">
                  <wp:posOffset>19050</wp:posOffset>
                </wp:positionH>
                <wp:positionV relativeFrom="page">
                  <wp:posOffset>276860</wp:posOffset>
                </wp:positionV>
                <wp:extent cx="3833495" cy="558165"/>
                <wp:effectExtent l="9525" t="635" r="0" b="12700"/>
                <wp:wrapNone/>
                <wp:docPr id="31" name="Group 122"/>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1120" name="1074"/>
                        <wps:cNvSpPr>
                          <a:spLocks noChangeArrowheads="1"/>
                        </wps:cNvSpPr>
                        <wps:spPr bwMode="auto">
                          <a:xfrm>
                            <a:off x="4551" y="52615"/>
                            <a:ext cx="8546" cy="1175"/>
                          </a:xfrm>
                          <a:prstGeom prst="rect">
                            <a:avLst/>
                          </a:prstGeom>
                          <a:solidFill>
                            <a:srgbClr val="D8D8D8"/>
                          </a:solidFill>
                          <a:ln>
                            <a:noFill/>
                          </a:ln>
                        </wps:spPr>
                        <wps:bodyPr rot="0" vert="horz" wrap="square" lIns="91440" tIns="45720" rIns="91440" bIns="45720" anchor="t" anchorCtr="0" upright="1">
                          <a:noAutofit/>
                        </wps:bodyPr>
                      </wps:wsp>
                      <wps:wsp>
                        <wps:cNvPr id="1121" name="1075"/>
                        <wps:cNvSpPr>
                          <a:spLocks noChangeArrowheads="1"/>
                        </wps:cNvSpPr>
                        <wps:spPr bwMode="auto">
                          <a:xfrm>
                            <a:off x="4577" y="52890"/>
                            <a:ext cx="8324" cy="1123"/>
                          </a:xfrm>
                          <a:prstGeom prst="rect">
                            <a:avLst/>
                          </a:prstGeom>
                          <a:solidFill>
                            <a:srgbClr val="AD002D"/>
                          </a:solidFill>
                          <a:ln w="25400">
                            <a:solidFill>
                              <a:srgbClr val="AF7621"/>
                            </a:solidFill>
                            <a:miter lim="800000"/>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wps:txbx>
                        <wps:bodyPr rot="0" vert="horz" wrap="square" lIns="91440" tIns="45720" rIns="91440" bIns="45720" anchor="ctr" anchorCtr="0" upright="1">
                          <a:noAutofit/>
                        </wps:bodyPr>
                      </wps:wsp>
                    </wpg:wgp>
                  </a:graphicData>
                </a:graphic>
              </wp:anchor>
            </w:drawing>
          </mc:Choice>
          <mc:Fallback>
            <w:pict>
              <v:group id="Group 122" o:spid="_x0000_s1026" o:spt="203" style="position:absolute;left:0pt;margin-left:1.5pt;margin-top:21.8pt;height:43.95pt;width:301.85pt;mso-position-horizontal-relative:page;mso-position-vertical-relative:page;z-index:251674624;mso-width-relative:page;mso-height-relative:page;" coordorigin="4551,52615" coordsize="8546,1398" o:gfxdata="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E+lmbfYAAAACAEAAA8AAAAAAAAAAQAgAAAAIgAAAGRycy9k&#10;b3ducmV2LnhtbFBLAQIUABQAAAAIAIdO4kDIP2/U5gIAAPoHAAAOAAAAAAAAAAEAIAAAACcBAABk&#10;cnMvZTJvRG9jLnhtbFBLBQYAAAAABgAGAFkBAAB/BgAAAAA=&#10;">
                <o:lock v:ext="edit" aspectratio="f"/>
                <v:rect id="1074" o:spid="_x0000_s1026" o:spt="1" style="position:absolute;left:4551;top:52615;height:1175;width:8546;" fillcolor="#D8D8D8" filled="t" stroked="f" coordsize="21600,21600" o:gfxdata="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zcK9M&#10;wAAAAN0AAAAPAAAAAAAAAAEAIAAAACIAAABkcnMvZG93bnJldi54bWxQSwECFAAUAAAACACHTuJA&#10;My8FnjsAAAA5AAAAEAAAAAAAAAABACAAAAAPAQAAZHJzL3NoYXBleG1sLnhtbFBLBQYAAAAABgAG&#10;AFsBAAC5AwAAAAA=&#10;">
                  <v:fill on="t" focussize="0,0"/>
                  <v:stroke on="f"/>
                  <v:imagedata o:title=""/>
                  <o:lock v:ext="edit" aspectratio="f"/>
                </v:rect>
                <v:rect id="1075" o:spid="_x0000_s1026" o:spt="1" style="position:absolute;left:4577;top:52890;height:1123;width:8324;v-text-anchor:middle;" fillcolor="#AD002D" filled="t" stroked="t" coordsize="21600,21600" o:gfxdata="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u12PvQAA&#10;AN0AAAAPAAAAAAAAAAEAIAAAACIAAABkcnMvZG93bnJldi54bWxQSwECFAAUAAAACACHTuJAMy8F&#10;njsAAAA5AAAAEAAAAAAAAAABACAAAAAMAQAAZHJzL3NoYXBleG1sLnhtbFBLBQYAAAAABgAGAFsB&#10;AAC2AwAAAAA=&#10;">
                  <v:fill on="t" focussize="0,0"/>
                  <v:stroke weight="2pt" color="#AF7621" miterlimit="8" joinstyle="miter"/>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mc:Fallback>
        </mc:AlternateContent>
      </w:r>
      <w:r>
        <w:rPr>
          <w:rFonts w:hint="eastAsia" w:eastAsia="仿宋_GB2312"/>
          <w:sz w:val="32"/>
          <w:szCs w:val="32"/>
        </w:rPr>
        <w:t>他交通费用、其他商品和服务支出、办公设备购置、专用设备购置、信息网络及软件购置更新</w:t>
      </w:r>
      <w:r>
        <w:rPr>
          <w:rFonts w:hint="eastAsia" w:ascii="仿宋_GB2312" w:eastAsia="仿宋_GB2312" w:cs="DengXian-Regular"/>
          <w:sz w:val="32"/>
          <w:szCs w:val="32"/>
        </w:rPr>
        <w:t>。</w:t>
      </w:r>
    </w:p>
    <w:p>
      <w:pPr>
        <w:pStyle w:val="3"/>
        <w:spacing w:before="0" w:after="0" w:line="580" w:lineRule="exact"/>
        <w:ind w:firstLine="640" w:firstLineChars="200"/>
        <w:rPr>
          <w:rFonts w:ascii="黑体" w:eastAsia="黑体"/>
          <w:b w:val="0"/>
          <w:bCs w:val="0"/>
        </w:rPr>
      </w:pPr>
      <w:r>
        <w:rPr>
          <w:rFonts w:hint="eastAsia" w:ascii="黑体" w:eastAsia="黑体"/>
          <w:b w:val="0"/>
          <w:bCs w:val="0"/>
        </w:rPr>
        <w:t>五、一般公共预算</w:t>
      </w:r>
      <w:r>
        <w:rPr>
          <w:rFonts w:hint="eastAsia" w:ascii="黑体" w:eastAsia="黑体"/>
          <w:b w:val="0"/>
          <w:bCs w:val="0"/>
          <w:lang w:val="en-US" w:eastAsia="zh-CN"/>
        </w:rPr>
        <w:t>财政拨款</w:t>
      </w:r>
      <w:r>
        <w:rPr>
          <w:rFonts w:hint="eastAsia" w:ascii="黑体" w:eastAsia="黑体"/>
          <w:b w:val="0"/>
          <w:bCs w:val="0"/>
        </w:rPr>
        <w:t>“三公” 经费支出决算情况说明</w:t>
      </w:r>
    </w:p>
    <w:p>
      <w:pPr>
        <w:adjustRightInd w:val="0"/>
        <w:snapToGrid w:val="0"/>
        <w:spacing w:after="0" w:line="600" w:lineRule="exact"/>
        <w:ind w:firstLine="640" w:firstLineChars="200"/>
        <w:rPr>
          <w:rFonts w:hint="eastAsia" w:eastAsia="仿宋_GB2312"/>
          <w:sz w:val="32"/>
          <w:szCs w:val="32"/>
        </w:rPr>
      </w:pPr>
      <w:r>
        <w:rPr>
          <w:rFonts w:hint="eastAsia" w:eastAsia="仿宋_GB2312"/>
          <w:sz w:val="32"/>
          <w:szCs w:val="32"/>
        </w:rPr>
        <w:t>本部门2018年度“三公”经费支出共计306.72万元，较年初预算减少6.25万元，降低1.99%，主要是认真落实中央政策和省市相关要求，严格控制“三公”经费使用</w:t>
      </w:r>
      <w:r>
        <w:rPr>
          <w:rFonts w:hint="eastAsia" w:eastAsia="仿宋_GB2312"/>
          <w:sz w:val="32"/>
          <w:szCs w:val="32"/>
          <w:lang w:eastAsia="zh-CN"/>
        </w:rPr>
        <w:t>。</w:t>
      </w:r>
      <w:r>
        <w:rPr>
          <w:rFonts w:hint="eastAsia" w:eastAsia="仿宋_GB2312"/>
          <w:sz w:val="32"/>
          <w:szCs w:val="32"/>
        </w:rPr>
        <w:t>具体情况如下：</w:t>
      </w:r>
    </w:p>
    <w:p>
      <w:pPr>
        <w:adjustRightInd w:val="0"/>
        <w:snapToGrid w:val="0"/>
        <w:spacing w:after="0" w:line="600" w:lineRule="exact"/>
        <w:ind w:firstLine="643" w:firstLineChars="200"/>
        <w:rPr>
          <w:rFonts w:ascii="仿宋_GB2312" w:eastAsia="仿宋_GB2312" w:cs="DengXian-Regular"/>
          <w:sz w:val="32"/>
          <w:szCs w:val="32"/>
          <w:highlight w:val="none"/>
        </w:rPr>
      </w:pPr>
      <w:r>
        <w:rPr>
          <w:rFonts w:hint="eastAsia" w:ascii="楷体_GB2312" w:eastAsia="楷体_GB2312" w:cs="DengXian-Bold"/>
          <w:b/>
          <w:bCs/>
          <w:sz w:val="32"/>
          <w:szCs w:val="32"/>
        </w:rPr>
        <w:t>（一）因公出国（境）费支出0万元。</w:t>
      </w:r>
      <w:r>
        <w:rPr>
          <w:rFonts w:hint="eastAsia" w:ascii="仿宋_GB2312" w:eastAsia="仿宋_GB2312" w:cs="DengXian-Regular"/>
          <w:sz w:val="32"/>
          <w:szCs w:val="32"/>
        </w:rPr>
        <w:t>本部门2018年度因公出国（境）费用未发生支出。较年初预算无增减变化</w:t>
      </w:r>
      <w:r>
        <w:rPr>
          <w:rFonts w:hint="eastAsia" w:ascii="仿宋_GB2312" w:eastAsia="仿宋_GB2312" w:cs="DengXian-Regular"/>
          <w:sz w:val="32"/>
          <w:szCs w:val="32"/>
          <w:lang w:eastAsia="zh-CN"/>
        </w:rPr>
        <w:t>，</w:t>
      </w:r>
      <w:r>
        <w:rPr>
          <w:rFonts w:hint="eastAsia" w:ascii="仿宋_GB2312" w:eastAsia="仿宋_GB2312" w:cs="DengXian-Regular"/>
          <w:sz w:val="32"/>
          <w:szCs w:val="32"/>
          <w:highlight w:val="none"/>
          <w:lang w:val="en-US" w:eastAsia="zh-CN"/>
        </w:rPr>
        <w:t>主要原因是</w:t>
      </w:r>
      <w:r>
        <w:rPr>
          <w:rFonts w:hint="eastAsia" w:eastAsia="仿宋_GB2312"/>
          <w:sz w:val="32"/>
          <w:szCs w:val="32"/>
          <w:highlight w:val="none"/>
        </w:rPr>
        <w:t>我部门严格控制出国人数及批次，未安排出国</w:t>
      </w:r>
      <w:r>
        <w:rPr>
          <w:rFonts w:hint="eastAsia" w:ascii="仿宋_GB2312" w:eastAsia="仿宋_GB2312" w:cs="DengXian-Regular"/>
          <w:sz w:val="32"/>
          <w:szCs w:val="32"/>
          <w:highlight w:val="none"/>
        </w:rPr>
        <w:t>。</w:t>
      </w:r>
    </w:p>
    <w:p>
      <w:pPr>
        <w:pageBreakBefore w:val="0"/>
        <w:widowControl w:val="0"/>
        <w:kinsoku/>
        <w:wordWrap/>
        <w:overflowPunct/>
        <w:topLinePunct w:val="0"/>
        <w:autoSpaceDE/>
        <w:autoSpaceDN/>
        <w:bidi w:val="0"/>
        <w:adjustRightInd w:val="0"/>
        <w:snapToGrid w:val="0"/>
        <w:spacing w:after="0" w:line="560" w:lineRule="exact"/>
        <w:ind w:firstLine="643" w:firstLineChars="200"/>
        <w:textAlignment w:val="auto"/>
        <w:rPr>
          <w:rFonts w:ascii="仿宋_GB2312" w:eastAsia="仿宋_GB2312" w:cs="DengXian-Bold"/>
          <w:b/>
          <w:bCs/>
          <w:sz w:val="32"/>
          <w:szCs w:val="32"/>
        </w:rPr>
      </w:pPr>
      <w:r>
        <w:rPr>
          <w:rFonts w:hint="eastAsia" w:ascii="楷体_GB2312" w:eastAsia="楷体_GB2312" w:cs="DengXian-Bold"/>
          <w:b/>
          <w:bCs/>
          <w:sz w:val="32"/>
          <w:szCs w:val="32"/>
        </w:rPr>
        <w:t>（二）公务用车购置及运行维护费支出</w:t>
      </w:r>
      <w:r>
        <w:rPr>
          <w:rFonts w:hint="eastAsia" w:ascii="楷体_GB2312" w:eastAsia="楷体_GB2312" w:cs="DengXian-Bold"/>
          <w:b/>
          <w:bCs/>
          <w:sz w:val="32"/>
          <w:szCs w:val="32"/>
          <w:lang w:val="en-US" w:eastAsia="zh-CN"/>
        </w:rPr>
        <w:t>30</w:t>
      </w:r>
      <w:r>
        <w:rPr>
          <w:rFonts w:hint="eastAsia" w:ascii="楷体_GB2312" w:eastAsia="楷体_GB2312" w:cs="DengXian-Bold"/>
          <w:b/>
          <w:bCs/>
          <w:sz w:val="32"/>
          <w:szCs w:val="32"/>
        </w:rPr>
        <w:t>1.85万元。</w:t>
      </w:r>
      <w:r>
        <w:rPr>
          <w:rFonts w:hint="eastAsia" w:ascii="仿宋_GB2312" w:eastAsia="仿宋_GB2312" w:cs="DengXian-Regular"/>
          <w:sz w:val="32"/>
          <w:szCs w:val="32"/>
        </w:rPr>
        <w:t>本部门2018年度公务用车购置及运行维护费较年初预算减少2.12万元，降低0.70%,主要是认真落实中央政策和省市相关要求，严格控制三公经费使用。</w:t>
      </w:r>
      <w:r>
        <w:rPr>
          <w:rFonts w:hint="eastAsia" w:ascii="仿宋_GB2312" w:eastAsia="仿宋_GB2312" w:cs="DengXian-Bold"/>
          <w:b/>
          <w:bCs/>
          <w:sz w:val="32"/>
          <w:szCs w:val="32"/>
        </w:rPr>
        <w:t>其中：</w:t>
      </w:r>
    </w:p>
    <w:p>
      <w:pPr>
        <w:pageBreakBefore w:val="0"/>
        <w:widowControl w:val="0"/>
        <w:kinsoku/>
        <w:wordWrap/>
        <w:overflowPunct/>
        <w:topLinePunct w:val="0"/>
        <w:autoSpaceDE/>
        <w:autoSpaceDN/>
        <w:bidi w:val="0"/>
        <w:adjustRightInd w:val="0"/>
        <w:snapToGrid w:val="0"/>
        <w:spacing w:after="0" w:line="560" w:lineRule="exact"/>
        <w:ind w:firstLine="643" w:firstLineChars="200"/>
        <w:textAlignment w:val="auto"/>
        <w:rPr>
          <w:rFonts w:ascii="仿宋_GB2312" w:eastAsia="仿宋_GB2312" w:cs="DengXian-Regular"/>
          <w:sz w:val="32"/>
          <w:szCs w:val="32"/>
          <w:highlight w:val="green"/>
        </w:rPr>
      </w:pPr>
      <w:r>
        <w:rPr>
          <w:rFonts w:hint="eastAsia" w:ascii="仿宋_GB2312" w:eastAsia="仿宋_GB2312" w:cs="DengXian-Regular"/>
          <w:b/>
          <w:sz w:val="32"/>
          <w:szCs w:val="32"/>
        </w:rPr>
        <w:t>公务用车购置费支出0万元：</w:t>
      </w:r>
      <w:r>
        <w:rPr>
          <w:rFonts w:hint="eastAsia" w:ascii="仿宋_GB2312" w:eastAsia="仿宋_GB2312" w:cs="DengXian-Regular"/>
          <w:sz w:val="32"/>
          <w:szCs w:val="32"/>
        </w:rPr>
        <w:t>本部门2018年公务用车购置费未发生支出。较年初预算无增减变化</w:t>
      </w:r>
      <w:r>
        <w:rPr>
          <w:rFonts w:hint="eastAsia" w:ascii="仿宋_GB2312" w:eastAsia="仿宋_GB2312" w:cs="DengXian-Regular"/>
          <w:sz w:val="32"/>
          <w:szCs w:val="32"/>
          <w:lang w:eastAsia="zh-CN"/>
        </w:rPr>
        <w:t>，</w:t>
      </w:r>
      <w:r>
        <w:rPr>
          <w:rFonts w:hint="eastAsia" w:ascii="仿宋_GB2312" w:eastAsia="仿宋_GB2312" w:cs="DengXian-Regular"/>
          <w:sz w:val="32"/>
          <w:szCs w:val="32"/>
          <w:highlight w:val="none"/>
          <w:lang w:val="en-US" w:eastAsia="zh-CN"/>
        </w:rPr>
        <w:t>主要原因是现有公务用车均未达到报废年限，且无增加公务用车需求</w:t>
      </w:r>
      <w:r>
        <w:rPr>
          <w:rFonts w:hint="eastAsia" w:ascii="仿宋_GB2312" w:eastAsia="仿宋_GB2312" w:cs="DengXian-Regular"/>
          <w:sz w:val="32"/>
          <w:szCs w:val="32"/>
          <w:highlight w:val="none"/>
        </w:rPr>
        <w:t>。</w:t>
      </w:r>
    </w:p>
    <w:p>
      <w:pPr>
        <w:pageBreakBefore w:val="0"/>
        <w:widowControl w:val="0"/>
        <w:kinsoku/>
        <w:wordWrap/>
        <w:overflowPunct/>
        <w:topLinePunct w:val="0"/>
        <w:autoSpaceDE/>
        <w:autoSpaceDN/>
        <w:bidi w:val="0"/>
        <w:adjustRightInd w:val="0"/>
        <w:snapToGrid w:val="0"/>
        <w:spacing w:after="0" w:line="560" w:lineRule="exact"/>
        <w:ind w:firstLine="643" w:firstLineChars="200"/>
        <w:textAlignment w:val="auto"/>
        <w:rPr>
          <w:rFonts w:hint="eastAsia" w:ascii="仿宋_GB2312" w:eastAsia="仿宋_GB2312" w:cs="DengXian-Regular"/>
          <w:sz w:val="32"/>
          <w:szCs w:val="32"/>
        </w:rPr>
      </w:pPr>
      <w:r>
        <w:rPr>
          <w:rFonts w:hint="eastAsia" w:ascii="仿宋_GB2312" w:eastAsia="仿宋_GB2312" w:cs="DengXian-Regular"/>
          <w:b/>
          <w:sz w:val="32"/>
          <w:szCs w:val="32"/>
        </w:rPr>
        <w:t>公务用车运行维护费支出</w:t>
      </w:r>
      <w:r>
        <w:rPr>
          <w:rFonts w:hint="eastAsia" w:ascii="楷体_GB2312" w:eastAsia="楷体_GB2312" w:cs="DengXian-Bold"/>
          <w:b/>
          <w:bCs/>
          <w:sz w:val="32"/>
          <w:szCs w:val="32"/>
        </w:rPr>
        <w:t>301.85</w:t>
      </w:r>
      <w:r>
        <w:rPr>
          <w:rFonts w:hint="eastAsia" w:ascii="仿宋_GB2312" w:eastAsia="仿宋_GB2312" w:cs="DengXian-Regular"/>
          <w:b/>
          <w:sz w:val="32"/>
          <w:szCs w:val="32"/>
        </w:rPr>
        <w:t>万元：</w:t>
      </w:r>
      <w:r>
        <w:rPr>
          <w:rFonts w:hint="eastAsia" w:ascii="仿宋_GB2312" w:eastAsia="仿宋_GB2312" w:cs="DengXian-Regular"/>
          <w:sz w:val="32"/>
          <w:szCs w:val="32"/>
        </w:rPr>
        <w:t>本部门2018年度单位公务用车保有量22辆，另有18辆为一般执法执勤用车，其他车辆1辆。国有资产占用情况车辆数合计为41辆。公车运行维护费支出较年初预算减</w:t>
      </w:r>
      <w:r>
        <w:rPr>
          <w:rFonts w:hint="eastAsia" w:ascii="仿宋_GB2312" w:eastAsia="仿宋_GB2312" w:cs="DengXian-Regular"/>
          <w:sz w:val="32"/>
          <w:szCs w:val="32"/>
          <w:lang w:val="zh-CN"/>
        </w:rPr>
        <mc:AlternateContent>
          <mc:Choice Requires="wpg">
            <w:drawing>
              <wp:anchor distT="0" distB="0" distL="114300" distR="114300" simplePos="0" relativeHeight="251675648" behindDoc="0" locked="1" layoutInCell="1" allowOverlap="1">
                <wp:simplePos x="0" y="0"/>
                <wp:positionH relativeFrom="page">
                  <wp:posOffset>3810</wp:posOffset>
                </wp:positionH>
                <wp:positionV relativeFrom="page">
                  <wp:posOffset>298450</wp:posOffset>
                </wp:positionV>
                <wp:extent cx="3833495" cy="558165"/>
                <wp:effectExtent l="3810" t="3175" r="1270" b="19685"/>
                <wp:wrapNone/>
                <wp:docPr id="28" name="Group 125"/>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29" name="1074"/>
                        <wps:cNvSpPr>
                          <a:spLocks noChangeArrowheads="1"/>
                        </wps:cNvSpPr>
                        <wps:spPr bwMode="auto">
                          <a:xfrm>
                            <a:off x="4551" y="52615"/>
                            <a:ext cx="8546" cy="1175"/>
                          </a:xfrm>
                          <a:prstGeom prst="rect">
                            <a:avLst/>
                          </a:prstGeom>
                          <a:solidFill>
                            <a:srgbClr val="D8D8D8"/>
                          </a:solidFill>
                          <a:ln>
                            <a:noFill/>
                          </a:ln>
                        </wps:spPr>
                        <wps:bodyPr rot="0" vert="horz" wrap="square" lIns="91440" tIns="45720" rIns="91440" bIns="45720" anchor="t" anchorCtr="0" upright="1">
                          <a:noAutofit/>
                        </wps:bodyPr>
                      </wps:wsp>
                      <wps:wsp>
                        <wps:cNvPr id="30" name="1075"/>
                        <wps:cNvSpPr>
                          <a:spLocks noChangeArrowheads="1"/>
                        </wps:cNvSpPr>
                        <wps:spPr bwMode="auto">
                          <a:xfrm>
                            <a:off x="4577" y="52890"/>
                            <a:ext cx="8324" cy="1123"/>
                          </a:xfrm>
                          <a:prstGeom prst="rect">
                            <a:avLst/>
                          </a:prstGeom>
                          <a:solidFill>
                            <a:srgbClr val="AD002D"/>
                          </a:solidFill>
                          <a:ln w="25400">
                            <a:solidFill>
                              <a:srgbClr val="AF7621"/>
                            </a:solidFill>
                            <a:miter lim="800000"/>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wps:txbx>
                        <wps:bodyPr rot="0" vert="horz" wrap="square" lIns="91440" tIns="45720" rIns="91440" bIns="45720" anchor="ctr" anchorCtr="0" upright="1">
                          <a:noAutofit/>
                        </wps:bodyPr>
                      </wps:wsp>
                    </wpg:wgp>
                  </a:graphicData>
                </a:graphic>
              </wp:anchor>
            </w:drawing>
          </mc:Choice>
          <mc:Fallback>
            <w:pict>
              <v:group id="Group 125" o:spid="_x0000_s1026" o:spt="203" style="position:absolute;left:0pt;margin-left:0.3pt;margin-top:23.5pt;height:43.95pt;width:301.85pt;mso-position-horizontal-relative:page;mso-position-vertical-relative:page;z-index:251675648;mso-width-relative:page;mso-height-relative:page;" coordorigin="4551,52615" coordsize="8546,1398" o:gfxdata="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BjyGy81wAAAAcBAAAPAAAAAAAAAAEAIAAAACIAAABkcnMvZG93&#10;bnJldi54bWxQSwECFAAUAAAACACHTuJAaza6PuUCAAD2BwAADgAAAAAAAAABACAAAAAmAQAAZHJz&#10;L2Uyb0RvYy54bWxQSwUGAAAAAAYABgBZAQAAfQYAAAAA&#10;">
                <o:lock v:ext="edit" aspectratio="f"/>
                <v:rect id="1074" o:spid="_x0000_s1026" o:spt="1" style="position:absolute;left:4551;top:52615;height:1175;width:8546;" fillcolor="#D8D8D8" filled="t" stroked="f" coordsize="21600,21600" o:gfxdata="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8d3TvQAA&#10;ANsAAAAPAAAAAAAAAAEAIAAAACIAAABkcnMvZG93bnJldi54bWxQSwECFAAUAAAACACHTuJAMy8F&#10;njsAAAA5AAAAEAAAAAAAAAABACAAAAAMAQAAZHJzL3NoYXBleG1sLnhtbFBLBQYAAAAABgAGAFsB&#10;AAC2AwAAAAA=&#10;">
                  <v:fill on="t" focussize="0,0"/>
                  <v:stroke on="f"/>
                  <v:imagedata o:title=""/>
                  <o:lock v:ext="edit" aspectratio="f"/>
                </v:rect>
                <v:rect id="1075" o:spid="_x0000_s1026" o:spt="1" style="position:absolute;left:4577;top:52890;height:1123;width:8324;v-text-anchor:middle;" fillcolor="#AD002D" filled="t" stroked="t" coordsize="21600,21600" o:gfxdata="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vIt7bgAAADbAAAA&#10;DwAAAAAAAAABACAAAAAiAAAAZHJzL2Rvd25yZXYueG1sUEsBAhQAFAAAAAgAh07iQDMvBZ47AAAA&#10;OQAAABAAAAAAAAAAAQAgAAAABwEAAGRycy9zaGFwZXhtbC54bWxQSwUGAAAAAAYABgBbAQAAsQMA&#10;AAAA&#10;">
                  <v:fill on="t" focussize="0,0"/>
                  <v:stroke weight="2pt" color="#AF7621" miterlimit="8" joinstyle="miter"/>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mc:Fallback>
        </mc:AlternateContent>
      </w:r>
      <w:r>
        <w:rPr>
          <w:rFonts w:hint="eastAsia" w:ascii="仿宋_GB2312" w:eastAsia="仿宋_GB2312" w:cs="DengXian-Regular"/>
          <w:sz w:val="32"/>
          <w:szCs w:val="32"/>
        </w:rPr>
        <w:t>少2.12万元，降低0.70%,主要是认真落实中央政策和省市相关要求，严格控制三公经费使用。</w:t>
      </w:r>
    </w:p>
    <w:p>
      <w:pPr>
        <w:pageBreakBefore w:val="0"/>
        <w:widowControl w:val="0"/>
        <w:kinsoku/>
        <w:wordWrap/>
        <w:overflowPunct/>
        <w:topLinePunct w:val="0"/>
        <w:autoSpaceDE/>
        <w:autoSpaceDN/>
        <w:bidi w:val="0"/>
        <w:adjustRightInd w:val="0"/>
        <w:snapToGrid w:val="0"/>
        <w:spacing w:after="0" w:line="560" w:lineRule="exact"/>
        <w:ind w:firstLine="643" w:firstLineChars="200"/>
        <w:textAlignment w:val="auto"/>
        <w:rPr>
          <w:rFonts w:hint="eastAsia" w:ascii="仿宋_GB2312" w:eastAsia="仿宋_GB2312" w:cs="DengXian-Regular"/>
          <w:sz w:val="32"/>
          <w:szCs w:val="32"/>
          <w:highlight w:val="yellow"/>
          <w:lang w:eastAsia="zh-CN"/>
        </w:rPr>
      </w:pPr>
      <w:r>
        <w:rPr>
          <w:rFonts w:hint="eastAsia" w:ascii="楷体_GB2312" w:eastAsia="楷体_GB2312" w:cs="DengXian-Bold"/>
          <w:b/>
          <w:bCs/>
          <w:sz w:val="32"/>
          <w:szCs w:val="32"/>
        </w:rPr>
        <w:t>（三）公务接待费支出4.87万元。</w:t>
      </w:r>
      <w:r>
        <w:rPr>
          <w:rFonts w:hint="eastAsia" w:ascii="仿宋_GB2312" w:eastAsia="仿宋_GB2312" w:cs="DengXian-Regular"/>
          <w:sz w:val="32"/>
          <w:szCs w:val="32"/>
        </w:rPr>
        <w:t>本部门2018年度公务接待共9批次、85人次。公务接待费支出较年初预算减少4.13万元，降低45.89%,主要是认真落实中央政策和省市相关要求，严格控制三公经费使用</w:t>
      </w:r>
      <w:r>
        <w:rPr>
          <w:rFonts w:hint="eastAsia" w:ascii="仿宋_GB2312" w:eastAsia="仿宋_GB2312" w:cs="DengXian-Regular"/>
          <w:sz w:val="32"/>
          <w:szCs w:val="32"/>
          <w:lang w:eastAsia="zh-CN"/>
        </w:rPr>
        <w:t>。</w:t>
      </w:r>
    </w:p>
    <w:p>
      <w:pPr>
        <w:pStyle w:val="3"/>
        <w:pageBreakBefore w:val="0"/>
        <w:widowControl w:val="0"/>
        <w:kinsoku/>
        <w:wordWrap/>
        <w:overflowPunct/>
        <w:topLinePunct w:val="0"/>
        <w:autoSpaceDE/>
        <w:autoSpaceDN/>
        <w:bidi w:val="0"/>
        <w:spacing w:before="0" w:after="0" w:line="560" w:lineRule="exact"/>
        <w:ind w:firstLine="640" w:firstLineChars="200"/>
        <w:textAlignment w:val="auto"/>
        <w:rPr>
          <w:rFonts w:ascii="黑体" w:eastAsia="黑体" w:cs="Times New Roman"/>
          <w:b w:val="0"/>
          <w:bCs w:val="0"/>
        </w:rPr>
      </w:pPr>
      <w:r>
        <w:rPr>
          <w:rFonts w:hint="eastAsia" w:ascii="黑体" w:eastAsia="黑体" w:cs="Times New Roman"/>
          <w:b w:val="0"/>
          <w:bCs w:val="0"/>
        </w:rPr>
        <w:t>六、预算绩效情况说明</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eastAsia="仿宋_GB2312" w:cs="DengXian-Regular"/>
          <w:sz w:val="32"/>
          <w:szCs w:val="32"/>
        </w:rPr>
      </w:pPr>
      <w:r>
        <w:rPr>
          <w:rFonts w:hint="eastAsia" w:ascii="仿宋_GB2312" w:eastAsia="仿宋_GB2312" w:cs="DengXian-Regular"/>
          <w:sz w:val="32"/>
          <w:szCs w:val="32"/>
        </w:rPr>
        <w:t>（一）</w:t>
      </w:r>
      <w:r>
        <w:rPr>
          <w:rFonts w:hint="eastAsia" w:ascii="仿宋_GB2312" w:eastAsia="仿宋_GB2312" w:cs="DengXian-Regular"/>
          <w:sz w:val="32"/>
          <w:szCs w:val="32"/>
          <w:lang w:val="en-US" w:eastAsia="zh-CN"/>
        </w:rPr>
        <w:t>预算</w:t>
      </w:r>
      <w:r>
        <w:rPr>
          <w:rFonts w:hint="eastAsia" w:ascii="仿宋_GB2312" w:eastAsia="仿宋_GB2312" w:cs="DengXian-Regular"/>
          <w:sz w:val="32"/>
          <w:szCs w:val="32"/>
        </w:rPr>
        <w:t>绩效管理工作开展情况</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default" w:ascii="仿宋_GB2312" w:eastAsia="仿宋_GB2312" w:cs="DengXian-Regular"/>
          <w:sz w:val="32"/>
          <w:szCs w:val="32"/>
          <w:lang w:val="en-US" w:eastAsia="zh-CN"/>
        </w:rPr>
      </w:pPr>
      <w:r>
        <w:rPr>
          <w:rFonts w:hint="eastAsia" w:ascii="仿宋_GB2312" w:eastAsia="仿宋_GB2312" w:cs="DengXian-Regular"/>
          <w:sz w:val="32"/>
          <w:szCs w:val="32"/>
        </w:rPr>
        <w:t>根据河北省财政厅《关于做好2019年省直部门绩效自评工作的通知》（冀财监</w:t>
      </w:r>
      <w:r>
        <w:rPr>
          <w:rFonts w:hint="eastAsia" w:ascii="仿宋" w:hAnsi="仿宋" w:eastAsia="仿宋" w:cs="仿宋"/>
          <w:sz w:val="32"/>
          <w:szCs w:val="32"/>
        </w:rPr>
        <w:t>﹝</w:t>
      </w:r>
      <w:r>
        <w:rPr>
          <w:rFonts w:hint="eastAsia" w:ascii="仿宋_GB2312" w:eastAsia="仿宋_GB2312" w:cs="DengXian-Regular"/>
          <w:sz w:val="32"/>
          <w:szCs w:val="32"/>
        </w:rPr>
        <w:t>2019</w:t>
      </w:r>
      <w:r>
        <w:rPr>
          <w:rFonts w:hint="eastAsia" w:ascii="仿宋" w:hAnsi="仿宋" w:eastAsia="仿宋" w:cs="仿宋"/>
          <w:sz w:val="32"/>
          <w:szCs w:val="32"/>
        </w:rPr>
        <w:t>﹞</w:t>
      </w:r>
      <w:r>
        <w:rPr>
          <w:rFonts w:hint="eastAsia" w:ascii="仿宋_GB2312" w:eastAsia="仿宋_GB2312" w:cs="DengXian-Regular"/>
          <w:sz w:val="32"/>
          <w:szCs w:val="32"/>
        </w:rPr>
        <w:t>3号）</w:t>
      </w:r>
      <w:r>
        <w:rPr>
          <w:rFonts w:hint="eastAsia" w:ascii="仿宋_GB2312" w:eastAsia="仿宋_GB2312" w:cs="DengXian-Regular"/>
          <w:sz w:val="32"/>
          <w:szCs w:val="32"/>
          <w:lang w:eastAsia="zh-CN"/>
        </w:rPr>
        <w:t>对我部门</w:t>
      </w:r>
      <w:r>
        <w:rPr>
          <w:rFonts w:hint="eastAsia" w:ascii="仿宋_GB2312" w:eastAsia="仿宋_GB2312" w:cs="DengXian-Regular"/>
          <w:sz w:val="32"/>
          <w:szCs w:val="32"/>
          <w:lang w:val="en-US" w:eastAsia="zh-CN"/>
        </w:rPr>
        <w:t>2018年专项项目开展了绩效评价工作。</w:t>
      </w:r>
    </w:p>
    <w:p>
      <w:pPr>
        <w:keepNext w:val="0"/>
        <w:keepLines w:val="0"/>
        <w:pageBreakBefore w:val="0"/>
        <w:widowControl w:val="0"/>
        <w:numPr>
          <w:ilvl w:val="0"/>
          <w:numId w:val="2"/>
        </w:numPr>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eastAsia="仿宋_GB2312" w:cs="DengXian-Regular"/>
          <w:sz w:val="32"/>
          <w:szCs w:val="32"/>
        </w:rPr>
      </w:pPr>
      <w:r>
        <w:rPr>
          <w:rFonts w:hint="eastAsia" w:ascii="仿宋_GB2312" w:eastAsia="仿宋_GB2312" w:cs="DengXian-Regular"/>
          <w:sz w:val="32"/>
          <w:szCs w:val="32"/>
        </w:rPr>
        <w:t>预算项目绩效评价开展情况</w:t>
      </w:r>
      <w:r>
        <w:rPr>
          <w:rFonts w:hint="eastAsia" w:ascii="仿宋_GB2312" w:eastAsia="仿宋_GB2312" w:cs="DengXian-Regular"/>
          <w:sz w:val="32"/>
          <w:szCs w:val="32"/>
          <w:lang w:eastAsia="zh-CN"/>
        </w:rPr>
        <w:t>及</w:t>
      </w:r>
      <w:r>
        <w:rPr>
          <w:rFonts w:hint="eastAsia" w:ascii="仿宋_GB2312" w:eastAsia="仿宋_GB2312" w:cs="DengXian-Regular"/>
          <w:sz w:val="32"/>
          <w:szCs w:val="32"/>
        </w:rPr>
        <w:t>预算项目绩效自评选例</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我部门主要对2018年五个专项项目开展了绩效评价工作，分别为：</w:t>
      </w:r>
    </w:p>
    <w:p>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sz w:val="32"/>
          <w:szCs w:val="32"/>
          <w:lang w:val="en-US" w:eastAsia="zh-CN"/>
        </w:rPr>
        <w:t>1.</w:t>
      </w:r>
      <w:r>
        <w:rPr>
          <w:rFonts w:hint="eastAsia" w:ascii="仿宋" w:hAnsi="仿宋" w:eastAsia="仿宋" w:cs="仿宋"/>
          <w:b/>
          <w:sz w:val="32"/>
          <w:szCs w:val="32"/>
        </w:rPr>
        <w:t>环境执法与监测预算项目1262万元</w:t>
      </w:r>
      <w:r>
        <w:rPr>
          <w:rFonts w:hint="eastAsia" w:ascii="仿宋" w:hAnsi="仿宋" w:eastAsia="仿宋" w:cs="仿宋"/>
          <w:b/>
          <w:sz w:val="32"/>
          <w:szCs w:val="32"/>
          <w:lang w:eastAsia="zh-CN"/>
        </w:rPr>
        <w:t>，项目主要包括：</w:t>
      </w:r>
      <w:r>
        <w:rPr>
          <w:rFonts w:hint="eastAsia" w:ascii="仿宋_GB2312" w:eastAsia="仿宋_GB2312" w:cs="DengXian-Regular"/>
          <w:sz w:val="32"/>
          <w:szCs w:val="32"/>
          <w:lang w:val="en-US" w:eastAsia="zh-CN"/>
        </w:rPr>
        <w:t>环境监察与信息项目，环境监察与督查项目，环境安全与应急处理项目</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sz w:val="32"/>
          <w:szCs w:val="32"/>
          <w:lang w:val="en-US" w:eastAsia="zh-CN"/>
        </w:rPr>
        <w:t>2.</w:t>
      </w:r>
      <w:r>
        <w:rPr>
          <w:rFonts w:hint="eastAsia" w:ascii="仿宋" w:hAnsi="仿宋" w:eastAsia="仿宋" w:cs="仿宋"/>
          <w:b/>
          <w:sz w:val="32"/>
          <w:szCs w:val="32"/>
        </w:rPr>
        <w:t>水污染防治项目660万元</w:t>
      </w:r>
      <w:r>
        <w:rPr>
          <w:rFonts w:hint="eastAsia" w:ascii="仿宋" w:hAnsi="仿宋" w:eastAsia="仿宋" w:cs="仿宋"/>
          <w:b/>
          <w:sz w:val="32"/>
          <w:szCs w:val="32"/>
          <w:lang w:eastAsia="zh-CN"/>
        </w:rPr>
        <w:t>，项目主要包括：</w:t>
      </w:r>
      <w:r>
        <w:rPr>
          <w:rFonts w:hint="eastAsia" w:ascii="仿宋_GB2312" w:eastAsia="仿宋_GB2312" w:cs="DengXian-Regular"/>
          <w:sz w:val="32"/>
          <w:szCs w:val="32"/>
          <w:lang w:val="en-US" w:eastAsia="zh-CN"/>
        </w:rPr>
        <w:t>集中式饮用水水源环境状况评估、补给区环境状况调查、勘界及标识标识建设项目，主要河流断面生态修复项目，唐山市近岸海域环境风险评价，唐山市重点湖库生态安全调查评估，唐山市近岸海域环境功能区划调整项目</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b/>
          <w:sz w:val="32"/>
          <w:szCs w:val="32"/>
        </w:rPr>
        <w:t>大气污染防治项目7474万元</w:t>
      </w:r>
      <w:r>
        <w:rPr>
          <w:rFonts w:hint="eastAsia" w:ascii="仿宋" w:hAnsi="仿宋" w:eastAsia="仿宋" w:cs="仿宋"/>
          <w:b/>
          <w:sz w:val="32"/>
          <w:szCs w:val="32"/>
          <w:lang w:eastAsia="zh-CN"/>
        </w:rPr>
        <w:t>，项目主要包括：</w:t>
      </w:r>
      <w:r>
        <w:rPr>
          <w:rFonts w:hint="eastAsia" w:ascii="仿宋_GB2312" w:eastAsia="仿宋_GB2312" w:cs="DengXian-Regular"/>
          <w:sz w:val="32"/>
          <w:szCs w:val="32"/>
          <w:lang w:val="en-US" w:eastAsia="zh-CN"/>
        </w:rPr>
        <w:t>空气质量达标规划项目，大气网格化项目，唐山市全市范围内散煤抽检服务项目，2013-2017年大气污染防治防治攻坚行动方案中期评估项目，唐山市重型柴油车污染排放监管措施效果评估项目，唐山市工业污染全面达标排放排查评估项目，在用中型柴油车对策研究项目，2018年大气污染防治网格化精准监控与决策支持系统全覆盖项目</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b/>
          <w:sz w:val="32"/>
          <w:szCs w:val="32"/>
        </w:rPr>
        <w:t>土壤污染防治项目</w:t>
      </w:r>
      <w:r>
        <w:rPr>
          <w:rFonts w:hint="eastAsia" w:ascii="仿宋" w:hAnsi="仿宋" w:eastAsia="仿宋" w:cs="仿宋"/>
          <w:b/>
          <w:sz w:val="32"/>
          <w:szCs w:val="32"/>
          <w:lang w:val="en-US" w:eastAsia="zh-CN"/>
        </w:rPr>
        <w:t>50万元</w:t>
      </w:r>
      <w:r>
        <w:rPr>
          <w:rFonts w:hint="eastAsia" w:ascii="仿宋" w:hAnsi="仿宋" w:eastAsia="仿宋" w:cs="仿宋"/>
          <w:b/>
          <w:sz w:val="32"/>
          <w:szCs w:val="32"/>
          <w:lang w:eastAsia="zh-CN"/>
        </w:rPr>
        <w:t>，项目主要包括：</w:t>
      </w:r>
      <w:r>
        <w:rPr>
          <w:rFonts w:hint="eastAsia" w:ascii="仿宋_GB2312" w:eastAsia="仿宋_GB2312" w:cs="DengXian-Regular"/>
          <w:sz w:val="32"/>
          <w:szCs w:val="32"/>
          <w:lang w:val="en-US" w:eastAsia="zh-CN"/>
        </w:rPr>
        <w:t>唐山市重点行业土壤污染调查评估项目</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b/>
          <w:sz w:val="32"/>
          <w:szCs w:val="32"/>
        </w:rPr>
        <w:t>环保上划改革经费</w:t>
      </w:r>
      <w:r>
        <w:rPr>
          <w:rFonts w:hint="eastAsia" w:ascii="仿宋" w:hAnsi="仿宋" w:eastAsia="仿宋" w:cs="仿宋"/>
          <w:b/>
          <w:sz w:val="32"/>
          <w:szCs w:val="32"/>
          <w:lang w:eastAsia="zh-CN"/>
        </w:rPr>
        <w:t>项目</w:t>
      </w:r>
      <w:r>
        <w:rPr>
          <w:rFonts w:hint="eastAsia" w:ascii="仿宋" w:hAnsi="仿宋" w:eastAsia="仿宋" w:cs="仿宋"/>
          <w:b/>
          <w:sz w:val="32"/>
          <w:szCs w:val="32"/>
          <w:lang w:val="en-US" w:eastAsia="zh-CN"/>
        </w:rPr>
        <w:t>500万元。项目主要用于：</w:t>
      </w:r>
      <w:r>
        <w:rPr>
          <w:rFonts w:hint="eastAsia" w:ascii="仿宋_GB2312" w:eastAsia="仿宋_GB2312" w:cs="DengXian-Regular"/>
          <w:sz w:val="32"/>
          <w:szCs w:val="32"/>
          <w:lang w:val="en-US" w:eastAsia="zh-CN"/>
        </w:rPr>
        <w:t>确保环保队伍稳定，工作紧密衔接，积极推进环保系统体制调整和人、财、物划转工作。负责环境保护系统综合业务管理和机关综合事务管理</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sz w:val="32"/>
          <w:szCs w:val="32"/>
          <w:lang w:val="en-US" w:eastAsia="zh-CN"/>
        </w:rPr>
        <w:t>6.</w:t>
      </w:r>
      <w:r>
        <w:rPr>
          <w:rFonts w:hint="eastAsia" w:ascii="仿宋" w:hAnsi="仿宋" w:eastAsia="仿宋" w:cs="仿宋"/>
          <w:b/>
          <w:sz w:val="32"/>
          <w:szCs w:val="32"/>
        </w:rPr>
        <w:t>环境监测与监察</w:t>
      </w:r>
      <w:r>
        <w:rPr>
          <w:rFonts w:hint="eastAsia" w:ascii="仿宋" w:hAnsi="仿宋" w:eastAsia="仿宋" w:cs="仿宋"/>
          <w:b/>
          <w:sz w:val="32"/>
          <w:szCs w:val="32"/>
          <w:lang w:eastAsia="zh-CN"/>
        </w:rPr>
        <w:t>项目</w:t>
      </w:r>
      <w:r>
        <w:rPr>
          <w:rFonts w:hint="eastAsia" w:ascii="仿宋" w:hAnsi="仿宋" w:eastAsia="仿宋" w:cs="仿宋"/>
          <w:b/>
          <w:sz w:val="32"/>
          <w:szCs w:val="32"/>
          <w:lang w:val="en-US" w:eastAsia="zh-CN"/>
        </w:rPr>
        <w:t>723万元，项目主要包括：</w:t>
      </w:r>
      <w:r>
        <w:rPr>
          <w:rFonts w:hint="eastAsia" w:ascii="仿宋_GB2312" w:eastAsia="仿宋_GB2312" w:cs="DengXian-Regular"/>
          <w:sz w:val="32"/>
          <w:szCs w:val="32"/>
          <w:lang w:val="en-US" w:eastAsia="zh-CN"/>
        </w:rPr>
        <w:t>开展环境要素的监测与综合分析评价，提高环境监测和预警能力，提高自动站的建设、管理，加大辐射环境质量监测、核应急监测，加大环境监管执法力度，完善环境基本公共服务体系建设。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p>
      <w:pPr>
        <w:numPr>
          <w:ilvl w:val="0"/>
          <w:numId w:val="0"/>
        </w:numPr>
        <w:rPr>
          <w:rFonts w:hint="default" w:ascii="仿宋" w:hAnsi="仿宋" w:eastAsia="仿宋" w:cs="仿宋"/>
          <w:b/>
          <w:bCs w:val="0"/>
          <w:sz w:val="32"/>
          <w:szCs w:val="32"/>
          <w:lang w:val="en-US" w:eastAsia="zh-CN"/>
        </w:rPr>
      </w:pPr>
      <w:r>
        <w:rPr>
          <w:rFonts w:hint="eastAsia" w:ascii="仿宋" w:hAnsi="仿宋" w:eastAsia="仿宋" w:cs="仿宋"/>
          <w:b/>
          <w:sz w:val="32"/>
          <w:szCs w:val="32"/>
          <w:lang w:val="en-US" w:eastAsia="zh-CN"/>
        </w:rPr>
        <w:t xml:space="preserve">    </w:t>
      </w:r>
      <w:r>
        <w:rPr>
          <w:rFonts w:hint="eastAsia" w:ascii="仿宋" w:hAnsi="仿宋" w:eastAsia="仿宋" w:cs="仿宋"/>
          <w:b/>
          <w:bCs w:val="0"/>
          <w:sz w:val="32"/>
          <w:szCs w:val="32"/>
          <w:lang w:val="en-US" w:eastAsia="zh-CN"/>
        </w:rPr>
        <w:t>以上项目绩效自评结果均为：优</w:t>
      </w:r>
    </w:p>
    <w:p>
      <w:pPr>
        <w:numPr>
          <w:ilvl w:val="0"/>
          <w:numId w:val="0"/>
        </w:numPr>
        <w:rPr>
          <w:rFonts w:hint="eastAsia" w:ascii="仿宋" w:hAnsi="仿宋" w:eastAsia="仿宋" w:cs="仿宋"/>
          <w:b/>
          <w:sz w:val="32"/>
          <w:szCs w:val="32"/>
          <w:lang w:val="en-US" w:eastAsia="zh-CN"/>
        </w:rPr>
      </w:pPr>
    </w:p>
    <w:p>
      <w:pPr>
        <w:numPr>
          <w:ilvl w:val="0"/>
          <w:numId w:val="0"/>
        </w:numPr>
        <w:rPr>
          <w:rFonts w:hint="eastAsia" w:eastAsia="方正仿宋简体" w:cs="仿宋"/>
          <w:b/>
          <w:sz w:val="28"/>
          <w:szCs w:val="28"/>
          <w:lang w:val="en-US" w:eastAsia="zh-CN"/>
        </w:rPr>
      </w:pPr>
    </w:p>
    <w:tbl>
      <w:tblPr>
        <w:tblStyle w:val="12"/>
        <w:tblW w:w="14745" w:type="dxa"/>
        <w:tblInd w:w="0" w:type="dxa"/>
        <w:tblLayout w:type="fixed"/>
        <w:tblCellMar>
          <w:top w:w="0" w:type="dxa"/>
          <w:left w:w="108" w:type="dxa"/>
          <w:bottom w:w="0" w:type="dxa"/>
          <w:right w:w="108" w:type="dxa"/>
        </w:tblCellMar>
      </w:tblPr>
      <w:tblGrid>
        <w:gridCol w:w="1702"/>
        <w:gridCol w:w="968"/>
        <w:gridCol w:w="3075"/>
        <w:gridCol w:w="2973"/>
        <w:gridCol w:w="2937"/>
        <w:gridCol w:w="750"/>
        <w:gridCol w:w="690"/>
        <w:gridCol w:w="705"/>
        <w:gridCol w:w="693"/>
        <w:gridCol w:w="252"/>
      </w:tblGrid>
      <w:tr>
        <w:tblPrEx>
          <w:tblCellMar>
            <w:top w:w="0" w:type="dxa"/>
            <w:left w:w="108" w:type="dxa"/>
            <w:bottom w:w="0" w:type="dxa"/>
            <w:right w:w="108" w:type="dxa"/>
          </w:tblCellMar>
        </w:tblPrEx>
        <w:trPr>
          <w:cantSplit/>
          <w:tblHeader/>
        </w:trPr>
        <w:tc>
          <w:tcPr>
            <w:tcW w:w="8718" w:type="dxa"/>
            <w:gridSpan w:val="4"/>
            <w:noWrap w:val="0"/>
            <w:vAlign w:val="center"/>
          </w:tcPr>
          <w:p>
            <w:pPr>
              <w:widowControl/>
              <w:jc w:val="left"/>
              <w:rPr>
                <w:rFonts w:ascii="Times New Roman" w:hAnsi="Times New Roman" w:eastAsia="方正仿宋简体" w:cs="Times New Roman"/>
                <w:b/>
                <w:bCs/>
                <w:color w:val="000000"/>
                <w:kern w:val="0"/>
              </w:rPr>
            </w:pPr>
            <w:r>
              <w:rPr>
                <w:rFonts w:ascii="Times New Roman" w:hAnsi="Times New Roman" w:eastAsia="方正仿宋简体" w:cs="宋体"/>
                <w:color w:val="000000"/>
                <w:sz w:val="28"/>
                <w:szCs w:val="28"/>
              </w:rPr>
              <w:t>626</w:t>
            </w:r>
            <w:r>
              <w:rPr>
                <w:rFonts w:hint="eastAsia" w:ascii="Times New Roman" w:hAnsi="Times New Roman" w:eastAsia="方正仿宋简体" w:cs="宋体"/>
                <w:color w:val="000000"/>
                <w:sz w:val="28"/>
                <w:szCs w:val="28"/>
              </w:rPr>
              <w:t>唐山市环境保护局</w:t>
            </w:r>
          </w:p>
        </w:tc>
        <w:tc>
          <w:tcPr>
            <w:tcW w:w="6027" w:type="dxa"/>
            <w:gridSpan w:val="6"/>
            <w:noWrap w:val="0"/>
            <w:vAlign w:val="center"/>
          </w:tcPr>
          <w:p>
            <w:pPr>
              <w:widowControl/>
              <w:jc w:val="right"/>
              <w:rPr>
                <w:rFonts w:ascii="Times New Roman" w:hAnsi="Times New Roman" w:eastAsia="方正仿宋简体" w:cs="Times New Roman"/>
                <w:b/>
                <w:bCs/>
                <w:color w:val="000000"/>
                <w:kern w:val="0"/>
              </w:rPr>
            </w:pPr>
            <w:r>
              <w:rPr>
                <w:rFonts w:hint="eastAsia" w:ascii="Times New Roman" w:hAnsi="Times New Roman" w:eastAsia="方正仿宋简体" w:cs="宋体"/>
                <w:color w:val="000000"/>
                <w:sz w:val="24"/>
                <w:szCs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2" w:type="dxa"/>
          <w:cantSplit/>
          <w:tblHeader/>
        </w:trPr>
        <w:tc>
          <w:tcPr>
            <w:tcW w:w="1702" w:type="dxa"/>
            <w:vMerge w:val="restart"/>
            <w:noWrap w:val="0"/>
            <w:vAlign w:val="center"/>
          </w:tcPr>
          <w:p>
            <w:pPr>
              <w:widowControl/>
              <w:jc w:val="center"/>
              <w:rPr>
                <w:rFonts w:ascii="Times New Roman" w:hAnsi="Times New Roman" w:eastAsia="方正仿宋简体" w:cs="Times New Roman"/>
                <w:b/>
                <w:bCs/>
                <w:color w:val="000000"/>
                <w:kern w:val="0"/>
              </w:rPr>
            </w:pPr>
            <w:r>
              <w:rPr>
                <w:rFonts w:hint="eastAsia" w:ascii="Times New Roman" w:hAnsi="Times New Roman" w:eastAsia="方正仿宋简体" w:cs="黑体"/>
                <w:b/>
                <w:bCs/>
                <w:color w:val="000000"/>
                <w:kern w:val="0"/>
              </w:rPr>
              <w:t>职责活动</w:t>
            </w:r>
          </w:p>
        </w:tc>
        <w:tc>
          <w:tcPr>
            <w:tcW w:w="968" w:type="dxa"/>
            <w:vMerge w:val="restart"/>
            <w:noWrap w:val="0"/>
            <w:vAlign w:val="center"/>
          </w:tcPr>
          <w:p>
            <w:pPr>
              <w:widowControl/>
              <w:jc w:val="center"/>
              <w:rPr>
                <w:rFonts w:ascii="Times New Roman" w:hAnsi="Times New Roman" w:eastAsia="方正仿宋简体" w:cs="Times New Roman"/>
                <w:b/>
                <w:bCs/>
                <w:color w:val="000000"/>
                <w:kern w:val="0"/>
              </w:rPr>
            </w:pPr>
            <w:r>
              <w:rPr>
                <w:rFonts w:hint="eastAsia" w:ascii="Times New Roman" w:hAnsi="Times New Roman" w:eastAsia="方正仿宋简体" w:cs="黑体"/>
                <w:b/>
                <w:bCs/>
                <w:color w:val="000000"/>
                <w:kern w:val="0"/>
              </w:rPr>
              <w:t>年度预算数</w:t>
            </w:r>
          </w:p>
        </w:tc>
        <w:tc>
          <w:tcPr>
            <w:tcW w:w="3075" w:type="dxa"/>
            <w:vMerge w:val="restart"/>
            <w:noWrap w:val="0"/>
            <w:vAlign w:val="center"/>
          </w:tcPr>
          <w:p>
            <w:pPr>
              <w:widowControl/>
              <w:jc w:val="center"/>
              <w:rPr>
                <w:rFonts w:ascii="Times New Roman" w:hAnsi="Times New Roman" w:eastAsia="方正仿宋简体" w:cs="Times New Roman"/>
                <w:b/>
                <w:bCs/>
                <w:color w:val="000000"/>
                <w:kern w:val="0"/>
              </w:rPr>
            </w:pPr>
            <w:r>
              <w:rPr>
                <w:rFonts w:hint="eastAsia" w:ascii="Times New Roman" w:hAnsi="Times New Roman" w:eastAsia="方正仿宋简体" w:cs="黑体"/>
                <w:b/>
                <w:bCs/>
                <w:color w:val="000000"/>
                <w:kern w:val="0"/>
              </w:rPr>
              <w:t>内容描述</w:t>
            </w:r>
          </w:p>
        </w:tc>
        <w:tc>
          <w:tcPr>
            <w:tcW w:w="2973" w:type="dxa"/>
            <w:vMerge w:val="restart"/>
            <w:noWrap w:val="0"/>
            <w:vAlign w:val="center"/>
          </w:tcPr>
          <w:p>
            <w:pPr>
              <w:widowControl/>
              <w:jc w:val="center"/>
              <w:rPr>
                <w:rFonts w:ascii="Times New Roman" w:hAnsi="Times New Roman" w:eastAsia="方正仿宋简体" w:cs="Times New Roman"/>
                <w:b/>
                <w:bCs/>
                <w:color w:val="000000"/>
                <w:kern w:val="0"/>
              </w:rPr>
            </w:pPr>
            <w:r>
              <w:rPr>
                <w:rFonts w:hint="eastAsia" w:ascii="Times New Roman" w:hAnsi="Times New Roman" w:eastAsia="方正仿宋简体" w:cs="黑体"/>
                <w:b/>
                <w:bCs/>
                <w:color w:val="000000"/>
                <w:kern w:val="0"/>
              </w:rPr>
              <w:t>绩效目标</w:t>
            </w:r>
          </w:p>
        </w:tc>
        <w:tc>
          <w:tcPr>
            <w:tcW w:w="2937" w:type="dxa"/>
            <w:vMerge w:val="restart"/>
            <w:noWrap w:val="0"/>
            <w:vAlign w:val="center"/>
          </w:tcPr>
          <w:p>
            <w:pPr>
              <w:widowControl/>
              <w:jc w:val="center"/>
              <w:rPr>
                <w:rFonts w:ascii="Times New Roman" w:hAnsi="Times New Roman" w:eastAsia="方正仿宋简体" w:cs="Times New Roman"/>
                <w:b/>
                <w:bCs/>
                <w:color w:val="000000"/>
                <w:kern w:val="0"/>
              </w:rPr>
            </w:pPr>
            <w:r>
              <w:rPr>
                <w:rFonts w:hint="eastAsia" w:ascii="Times New Roman" w:hAnsi="Times New Roman" w:eastAsia="方正仿宋简体" w:cs="黑体"/>
                <w:b/>
                <w:bCs/>
                <w:color w:val="000000"/>
                <w:kern w:val="0"/>
              </w:rPr>
              <w:t>绩效指标</w:t>
            </w:r>
          </w:p>
        </w:tc>
        <w:tc>
          <w:tcPr>
            <w:tcW w:w="2838" w:type="dxa"/>
            <w:gridSpan w:val="4"/>
            <w:noWrap w:val="0"/>
            <w:vAlign w:val="center"/>
          </w:tcPr>
          <w:p>
            <w:pPr>
              <w:widowControl/>
              <w:jc w:val="center"/>
              <w:rPr>
                <w:rFonts w:ascii="Times New Roman" w:hAnsi="Times New Roman" w:eastAsia="方正仿宋简体" w:cs="Times New Roman"/>
                <w:b/>
                <w:bCs/>
                <w:color w:val="000000"/>
                <w:kern w:val="0"/>
              </w:rPr>
            </w:pPr>
            <w:r>
              <w:rPr>
                <w:rFonts w:hint="eastAsia" w:ascii="Times New Roman" w:hAnsi="Times New Roman" w:eastAsia="方正仿宋简体" w:cs="黑体"/>
                <w:b/>
                <w:bCs/>
                <w:color w:val="000000"/>
                <w:kern w:val="0"/>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2" w:type="dxa"/>
          <w:cantSplit/>
          <w:trHeight w:val="312" w:hRule="atLeast"/>
          <w:tblHeader/>
        </w:trPr>
        <w:tc>
          <w:tcPr>
            <w:tcW w:w="1702" w:type="dxa"/>
            <w:vMerge w:val="continue"/>
            <w:noWrap w:val="0"/>
            <w:vAlign w:val="center"/>
          </w:tcPr>
          <w:p>
            <w:pPr>
              <w:widowControl/>
              <w:jc w:val="center"/>
              <w:rPr>
                <w:rFonts w:ascii="Times New Roman" w:hAnsi="Times New Roman" w:eastAsia="方正仿宋简体" w:cs="Times New Roman"/>
                <w:b/>
                <w:bCs/>
                <w:color w:val="000000"/>
                <w:kern w:val="0"/>
              </w:rPr>
            </w:pPr>
          </w:p>
        </w:tc>
        <w:tc>
          <w:tcPr>
            <w:tcW w:w="968" w:type="dxa"/>
            <w:vMerge w:val="continue"/>
            <w:noWrap w:val="0"/>
            <w:vAlign w:val="center"/>
          </w:tcPr>
          <w:p>
            <w:pPr>
              <w:widowControl/>
              <w:jc w:val="center"/>
              <w:rPr>
                <w:rFonts w:ascii="Times New Roman" w:hAnsi="Times New Roman" w:eastAsia="方正仿宋简体" w:cs="Times New Roman"/>
                <w:b/>
                <w:bCs/>
                <w:color w:val="000000"/>
                <w:kern w:val="0"/>
              </w:rPr>
            </w:pPr>
          </w:p>
        </w:tc>
        <w:tc>
          <w:tcPr>
            <w:tcW w:w="3075" w:type="dxa"/>
            <w:vMerge w:val="continue"/>
            <w:noWrap w:val="0"/>
            <w:vAlign w:val="center"/>
          </w:tcPr>
          <w:p>
            <w:pPr>
              <w:widowControl/>
              <w:jc w:val="center"/>
              <w:rPr>
                <w:rFonts w:ascii="Times New Roman" w:hAnsi="Times New Roman" w:eastAsia="方正仿宋简体" w:cs="Times New Roman"/>
                <w:b/>
                <w:bCs/>
                <w:color w:val="000000"/>
                <w:kern w:val="0"/>
              </w:rPr>
            </w:pPr>
          </w:p>
        </w:tc>
        <w:tc>
          <w:tcPr>
            <w:tcW w:w="2973" w:type="dxa"/>
            <w:vMerge w:val="continue"/>
            <w:noWrap w:val="0"/>
            <w:vAlign w:val="center"/>
          </w:tcPr>
          <w:p>
            <w:pPr>
              <w:widowControl/>
              <w:jc w:val="center"/>
              <w:rPr>
                <w:rFonts w:ascii="Times New Roman" w:hAnsi="Times New Roman" w:eastAsia="方正仿宋简体" w:cs="Times New Roman"/>
                <w:b/>
                <w:bCs/>
                <w:color w:val="000000"/>
                <w:kern w:val="0"/>
              </w:rPr>
            </w:pPr>
          </w:p>
        </w:tc>
        <w:tc>
          <w:tcPr>
            <w:tcW w:w="2937" w:type="dxa"/>
            <w:vMerge w:val="continue"/>
            <w:noWrap w:val="0"/>
            <w:vAlign w:val="center"/>
          </w:tcPr>
          <w:p>
            <w:pPr>
              <w:widowControl/>
              <w:jc w:val="center"/>
              <w:rPr>
                <w:rFonts w:ascii="Times New Roman" w:hAnsi="Times New Roman" w:eastAsia="方正仿宋简体" w:cs="Times New Roman"/>
                <w:b/>
                <w:bCs/>
                <w:color w:val="000000"/>
                <w:kern w:val="0"/>
              </w:rPr>
            </w:pPr>
          </w:p>
        </w:tc>
        <w:tc>
          <w:tcPr>
            <w:tcW w:w="750" w:type="dxa"/>
            <w:vMerge w:val="restart"/>
            <w:noWrap w:val="0"/>
            <w:vAlign w:val="center"/>
          </w:tcPr>
          <w:p>
            <w:pPr>
              <w:widowControl/>
              <w:jc w:val="center"/>
              <w:rPr>
                <w:rFonts w:ascii="Times New Roman" w:hAnsi="Times New Roman" w:eastAsia="方正仿宋简体" w:cs="Times New Roman"/>
                <w:b/>
                <w:bCs/>
                <w:color w:val="000000"/>
                <w:kern w:val="0"/>
              </w:rPr>
            </w:pPr>
            <w:r>
              <w:rPr>
                <w:rFonts w:hint="eastAsia" w:ascii="Times New Roman" w:hAnsi="Times New Roman" w:eastAsia="方正仿宋简体" w:cs="黑体"/>
                <w:b/>
                <w:bCs/>
                <w:color w:val="000000"/>
                <w:kern w:val="0"/>
              </w:rPr>
              <w:t>优</w:t>
            </w:r>
          </w:p>
        </w:tc>
        <w:tc>
          <w:tcPr>
            <w:tcW w:w="690" w:type="dxa"/>
            <w:vMerge w:val="restart"/>
            <w:noWrap w:val="0"/>
            <w:vAlign w:val="center"/>
          </w:tcPr>
          <w:p>
            <w:pPr>
              <w:widowControl/>
              <w:jc w:val="center"/>
              <w:rPr>
                <w:rFonts w:ascii="Times New Roman" w:hAnsi="Times New Roman" w:eastAsia="方正仿宋简体" w:cs="Times New Roman"/>
                <w:b/>
                <w:bCs/>
                <w:color w:val="000000"/>
                <w:kern w:val="0"/>
              </w:rPr>
            </w:pPr>
            <w:r>
              <w:rPr>
                <w:rFonts w:hint="eastAsia" w:ascii="Times New Roman" w:hAnsi="Times New Roman" w:eastAsia="方正仿宋简体" w:cs="黑体"/>
                <w:b/>
                <w:bCs/>
                <w:color w:val="000000"/>
                <w:kern w:val="0"/>
              </w:rPr>
              <w:t>良</w:t>
            </w:r>
          </w:p>
        </w:tc>
        <w:tc>
          <w:tcPr>
            <w:tcW w:w="705" w:type="dxa"/>
            <w:vMerge w:val="restart"/>
            <w:noWrap w:val="0"/>
            <w:vAlign w:val="center"/>
          </w:tcPr>
          <w:p>
            <w:pPr>
              <w:widowControl/>
              <w:jc w:val="center"/>
              <w:rPr>
                <w:rFonts w:ascii="Times New Roman" w:hAnsi="Times New Roman" w:eastAsia="方正仿宋简体" w:cs="Times New Roman"/>
                <w:b/>
                <w:bCs/>
                <w:color w:val="000000"/>
                <w:kern w:val="0"/>
              </w:rPr>
            </w:pPr>
            <w:r>
              <w:rPr>
                <w:rFonts w:hint="eastAsia" w:ascii="Times New Roman" w:hAnsi="Times New Roman" w:eastAsia="方正仿宋简体" w:cs="黑体"/>
                <w:b/>
                <w:bCs/>
                <w:color w:val="000000"/>
                <w:kern w:val="0"/>
              </w:rPr>
              <w:t>中</w:t>
            </w:r>
          </w:p>
        </w:tc>
        <w:tc>
          <w:tcPr>
            <w:tcW w:w="693" w:type="dxa"/>
            <w:vMerge w:val="restart"/>
            <w:noWrap w:val="0"/>
            <w:vAlign w:val="center"/>
          </w:tcPr>
          <w:p>
            <w:pPr>
              <w:widowControl/>
              <w:jc w:val="center"/>
              <w:rPr>
                <w:rFonts w:ascii="Times New Roman" w:hAnsi="Times New Roman" w:eastAsia="方正仿宋简体" w:cs="Times New Roman"/>
                <w:b/>
                <w:bCs/>
                <w:color w:val="000000"/>
                <w:kern w:val="0"/>
              </w:rPr>
            </w:pPr>
            <w:r>
              <w:rPr>
                <w:rFonts w:hint="eastAsia" w:ascii="Times New Roman" w:hAnsi="Times New Roman" w:eastAsia="方正仿宋简体" w:cs="黑体"/>
                <w:b/>
                <w:bCs/>
                <w:color w:val="000000"/>
                <w:kern w:val="0"/>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2" w:type="dxa"/>
          <w:cantSplit/>
          <w:trHeight w:val="312" w:hRule="atLeast"/>
          <w:tblHeader/>
        </w:trPr>
        <w:tc>
          <w:tcPr>
            <w:tcW w:w="1702" w:type="dxa"/>
            <w:vMerge w:val="continue"/>
            <w:noWrap w:val="0"/>
            <w:vAlign w:val="center"/>
          </w:tcPr>
          <w:p>
            <w:pPr>
              <w:widowControl/>
              <w:jc w:val="center"/>
              <w:rPr>
                <w:rFonts w:ascii="Times New Roman" w:hAnsi="Times New Roman" w:eastAsia="方正仿宋简体" w:cs="Times New Roman"/>
                <w:b/>
                <w:bCs/>
                <w:color w:val="000000"/>
                <w:kern w:val="0"/>
              </w:rPr>
            </w:pPr>
          </w:p>
        </w:tc>
        <w:tc>
          <w:tcPr>
            <w:tcW w:w="968" w:type="dxa"/>
            <w:vMerge w:val="continue"/>
            <w:noWrap w:val="0"/>
            <w:vAlign w:val="center"/>
          </w:tcPr>
          <w:p>
            <w:pPr>
              <w:widowControl/>
              <w:jc w:val="center"/>
              <w:rPr>
                <w:rFonts w:ascii="Times New Roman" w:hAnsi="Times New Roman" w:eastAsia="方正仿宋简体" w:cs="Times New Roman"/>
                <w:b/>
                <w:bCs/>
                <w:color w:val="000000"/>
                <w:kern w:val="0"/>
              </w:rPr>
            </w:pPr>
          </w:p>
        </w:tc>
        <w:tc>
          <w:tcPr>
            <w:tcW w:w="3075" w:type="dxa"/>
            <w:vMerge w:val="continue"/>
            <w:noWrap w:val="0"/>
            <w:vAlign w:val="center"/>
          </w:tcPr>
          <w:p>
            <w:pPr>
              <w:widowControl/>
              <w:jc w:val="center"/>
              <w:rPr>
                <w:rFonts w:ascii="Times New Roman" w:hAnsi="Times New Roman" w:eastAsia="方正仿宋简体" w:cs="Times New Roman"/>
                <w:b/>
                <w:bCs/>
                <w:color w:val="000000"/>
                <w:kern w:val="0"/>
              </w:rPr>
            </w:pPr>
          </w:p>
        </w:tc>
        <w:tc>
          <w:tcPr>
            <w:tcW w:w="2973" w:type="dxa"/>
            <w:vMerge w:val="continue"/>
            <w:noWrap w:val="0"/>
            <w:vAlign w:val="center"/>
          </w:tcPr>
          <w:p>
            <w:pPr>
              <w:widowControl/>
              <w:jc w:val="center"/>
              <w:rPr>
                <w:rFonts w:ascii="Times New Roman" w:hAnsi="Times New Roman" w:eastAsia="方正仿宋简体" w:cs="Times New Roman"/>
                <w:b/>
                <w:bCs/>
                <w:color w:val="000000"/>
                <w:kern w:val="0"/>
              </w:rPr>
            </w:pPr>
          </w:p>
        </w:tc>
        <w:tc>
          <w:tcPr>
            <w:tcW w:w="2937" w:type="dxa"/>
            <w:vMerge w:val="continue"/>
            <w:noWrap w:val="0"/>
            <w:vAlign w:val="center"/>
          </w:tcPr>
          <w:p>
            <w:pPr>
              <w:widowControl/>
              <w:jc w:val="center"/>
              <w:rPr>
                <w:rFonts w:ascii="Times New Roman" w:hAnsi="Times New Roman" w:eastAsia="方正仿宋简体" w:cs="Times New Roman"/>
                <w:b/>
                <w:bCs/>
                <w:color w:val="000000"/>
                <w:kern w:val="0"/>
              </w:rPr>
            </w:pPr>
          </w:p>
        </w:tc>
        <w:tc>
          <w:tcPr>
            <w:tcW w:w="750" w:type="dxa"/>
            <w:vMerge w:val="continue"/>
            <w:noWrap w:val="0"/>
            <w:vAlign w:val="center"/>
          </w:tcPr>
          <w:p>
            <w:pPr>
              <w:widowControl/>
              <w:jc w:val="center"/>
              <w:rPr>
                <w:rFonts w:ascii="Times New Roman" w:hAnsi="Times New Roman" w:eastAsia="方正仿宋简体" w:cs="Times New Roman"/>
                <w:b/>
                <w:bCs/>
                <w:color w:val="000000"/>
                <w:kern w:val="0"/>
              </w:rPr>
            </w:pPr>
          </w:p>
        </w:tc>
        <w:tc>
          <w:tcPr>
            <w:tcW w:w="690" w:type="dxa"/>
            <w:vMerge w:val="continue"/>
            <w:noWrap w:val="0"/>
            <w:vAlign w:val="center"/>
          </w:tcPr>
          <w:p>
            <w:pPr>
              <w:widowControl/>
              <w:jc w:val="center"/>
              <w:rPr>
                <w:rFonts w:ascii="Times New Roman" w:hAnsi="Times New Roman" w:eastAsia="方正仿宋简体" w:cs="Times New Roman"/>
                <w:b/>
                <w:bCs/>
                <w:color w:val="000000"/>
                <w:kern w:val="0"/>
              </w:rPr>
            </w:pPr>
          </w:p>
        </w:tc>
        <w:tc>
          <w:tcPr>
            <w:tcW w:w="705" w:type="dxa"/>
            <w:vMerge w:val="continue"/>
            <w:noWrap w:val="0"/>
            <w:vAlign w:val="center"/>
          </w:tcPr>
          <w:p>
            <w:pPr>
              <w:widowControl/>
              <w:jc w:val="center"/>
              <w:rPr>
                <w:rFonts w:ascii="Times New Roman" w:hAnsi="Times New Roman" w:eastAsia="方正仿宋简体" w:cs="Times New Roman"/>
                <w:b/>
                <w:bCs/>
                <w:color w:val="000000"/>
                <w:kern w:val="0"/>
              </w:rPr>
            </w:pPr>
          </w:p>
        </w:tc>
        <w:tc>
          <w:tcPr>
            <w:tcW w:w="693" w:type="dxa"/>
            <w:vMerge w:val="continue"/>
            <w:noWrap w:val="0"/>
            <w:vAlign w:val="center"/>
          </w:tcPr>
          <w:p>
            <w:pPr>
              <w:widowControl/>
              <w:jc w:val="center"/>
              <w:rPr>
                <w:rFonts w:ascii="Times New Roman" w:hAnsi="Times New Roman" w:eastAsia="方正仿宋简体" w:cs="Times New Roman"/>
                <w:b/>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2" w:type="dxa"/>
          <w:cantSplit/>
          <w:trHeight w:val="312" w:hRule="atLeast"/>
          <w:tblHeader/>
        </w:trPr>
        <w:tc>
          <w:tcPr>
            <w:tcW w:w="1702" w:type="dxa"/>
            <w:vMerge w:val="continue"/>
            <w:noWrap w:val="0"/>
            <w:vAlign w:val="center"/>
          </w:tcPr>
          <w:p>
            <w:pPr>
              <w:widowControl/>
              <w:jc w:val="center"/>
              <w:rPr>
                <w:rFonts w:ascii="Times New Roman" w:hAnsi="Times New Roman" w:eastAsia="方正仿宋简体" w:cs="宋体"/>
                <w:color w:val="000000"/>
                <w:kern w:val="0"/>
              </w:rPr>
            </w:pPr>
          </w:p>
        </w:tc>
        <w:tc>
          <w:tcPr>
            <w:tcW w:w="968" w:type="dxa"/>
            <w:vMerge w:val="continue"/>
            <w:noWrap w:val="0"/>
            <w:vAlign w:val="center"/>
          </w:tcPr>
          <w:p>
            <w:pPr>
              <w:widowControl/>
              <w:jc w:val="right"/>
              <w:rPr>
                <w:rFonts w:ascii="Times New Roman" w:hAnsi="Times New Roman" w:eastAsia="方正仿宋简体" w:cs="宋体"/>
                <w:color w:val="000000"/>
                <w:kern w:val="0"/>
              </w:rPr>
            </w:pPr>
          </w:p>
        </w:tc>
        <w:tc>
          <w:tcPr>
            <w:tcW w:w="3075" w:type="dxa"/>
            <w:vMerge w:val="continue"/>
            <w:noWrap w:val="0"/>
            <w:vAlign w:val="center"/>
          </w:tcPr>
          <w:p>
            <w:pPr>
              <w:widowControl/>
              <w:rPr>
                <w:rFonts w:ascii="Times New Roman" w:hAnsi="Times New Roman" w:eastAsia="方正仿宋简体" w:cs="宋体"/>
                <w:color w:val="000000"/>
                <w:kern w:val="0"/>
              </w:rPr>
            </w:pPr>
          </w:p>
        </w:tc>
        <w:tc>
          <w:tcPr>
            <w:tcW w:w="2973" w:type="dxa"/>
            <w:vMerge w:val="continue"/>
            <w:noWrap w:val="0"/>
            <w:vAlign w:val="center"/>
          </w:tcPr>
          <w:p>
            <w:pPr>
              <w:widowControl/>
              <w:rPr>
                <w:rFonts w:ascii="Times New Roman" w:hAnsi="Times New Roman" w:eastAsia="方正仿宋简体" w:cs="宋体"/>
                <w:color w:val="000000"/>
                <w:kern w:val="0"/>
              </w:rPr>
            </w:pPr>
          </w:p>
        </w:tc>
        <w:tc>
          <w:tcPr>
            <w:tcW w:w="2937" w:type="dxa"/>
            <w:vMerge w:val="continue"/>
            <w:noWrap w:val="0"/>
            <w:vAlign w:val="center"/>
          </w:tcPr>
          <w:p>
            <w:pPr>
              <w:widowControl/>
              <w:rPr>
                <w:rFonts w:ascii="Times New Roman" w:hAnsi="Times New Roman" w:eastAsia="方正仿宋简体" w:cs="宋体"/>
                <w:color w:val="000000"/>
                <w:kern w:val="0"/>
              </w:rPr>
            </w:pPr>
          </w:p>
        </w:tc>
        <w:tc>
          <w:tcPr>
            <w:tcW w:w="750" w:type="dxa"/>
            <w:vMerge w:val="continue"/>
            <w:noWrap w:val="0"/>
            <w:vAlign w:val="center"/>
          </w:tcPr>
          <w:p>
            <w:pPr>
              <w:widowControl/>
              <w:rPr>
                <w:rFonts w:ascii="Times New Roman" w:hAnsi="Times New Roman" w:eastAsia="方正仿宋简体" w:cs="宋体"/>
                <w:color w:val="000000"/>
                <w:kern w:val="0"/>
              </w:rPr>
            </w:pPr>
          </w:p>
        </w:tc>
        <w:tc>
          <w:tcPr>
            <w:tcW w:w="690" w:type="dxa"/>
            <w:vMerge w:val="continue"/>
            <w:noWrap w:val="0"/>
            <w:vAlign w:val="center"/>
          </w:tcPr>
          <w:p>
            <w:pPr>
              <w:widowControl/>
              <w:rPr>
                <w:rFonts w:ascii="Times New Roman" w:hAnsi="Times New Roman" w:eastAsia="方正仿宋简体" w:cs="宋体"/>
                <w:color w:val="000000"/>
                <w:kern w:val="0"/>
              </w:rPr>
            </w:pPr>
          </w:p>
        </w:tc>
        <w:tc>
          <w:tcPr>
            <w:tcW w:w="705" w:type="dxa"/>
            <w:vMerge w:val="continue"/>
            <w:noWrap w:val="0"/>
            <w:vAlign w:val="center"/>
          </w:tcPr>
          <w:p>
            <w:pPr>
              <w:widowControl/>
              <w:rPr>
                <w:rFonts w:ascii="Times New Roman" w:hAnsi="Times New Roman" w:eastAsia="方正仿宋简体" w:cs="宋体"/>
                <w:color w:val="000000"/>
                <w:kern w:val="0"/>
              </w:rPr>
            </w:pPr>
          </w:p>
        </w:tc>
        <w:tc>
          <w:tcPr>
            <w:tcW w:w="693" w:type="dxa"/>
            <w:vMerge w:val="continue"/>
            <w:noWrap w:val="0"/>
            <w:vAlign w:val="center"/>
          </w:tcPr>
          <w:p>
            <w:pPr>
              <w:widowControl/>
              <w:rPr>
                <w:rFonts w:ascii="Times New Roman" w:hAnsi="Times New Roman" w:eastAsia="方正仿宋简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2" w:type="dxa"/>
          <w:cantSplit/>
          <w:trHeight w:val="2502" w:hRule="exact"/>
        </w:trPr>
        <w:tc>
          <w:tcPr>
            <w:tcW w:w="1702" w:type="dxa"/>
            <w:vMerge w:val="restart"/>
            <w:noWrap w:val="0"/>
            <w:vAlign w:val="center"/>
          </w:tcPr>
          <w:p>
            <w:pPr>
              <w:widowControl/>
              <w:jc w:val="center"/>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环境执法与监测</w:t>
            </w:r>
          </w:p>
        </w:tc>
        <w:tc>
          <w:tcPr>
            <w:tcW w:w="968" w:type="dxa"/>
            <w:vMerge w:val="restart"/>
            <w:noWrap w:val="0"/>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1262.00</w:t>
            </w:r>
          </w:p>
        </w:tc>
        <w:tc>
          <w:tcPr>
            <w:tcW w:w="3075" w:type="dxa"/>
            <w:vMerge w:val="restart"/>
            <w:noWrap w:val="0"/>
            <w:vAlign w:val="center"/>
          </w:tcPr>
          <w:p>
            <w:pPr>
              <w:widowControl/>
              <w:spacing w:line="240" w:lineRule="exact"/>
              <w:rPr>
                <w:rFonts w:hint="eastAsia" w:ascii="Times New Roman" w:hAnsi="Times New Roman" w:eastAsia="方正仿宋简体" w:cs="宋体"/>
                <w:color w:val="000000"/>
                <w:kern w:val="0"/>
                <w:sz w:val="18"/>
                <w:szCs w:val="18"/>
              </w:rPr>
            </w:pPr>
            <w:r>
              <w:rPr>
                <w:rFonts w:hint="eastAsia" w:ascii="Times New Roman" w:hAnsi="Times New Roman" w:eastAsia="方正仿宋简体" w:cs="宋体"/>
                <w:color w:val="000000"/>
                <w:kern w:val="0"/>
                <w:sz w:val="18"/>
                <w:szCs w:val="18"/>
              </w:rPr>
              <w:t>加强环境行政监察，开展全市网格化环境监管、环境违法案件现场调查处理、污染纠纷调查处理，全市打击环境违法行为专项行动，以及生态和农村环境执法监察；加强环境行政执法后督察。</w:t>
            </w:r>
          </w:p>
        </w:tc>
        <w:tc>
          <w:tcPr>
            <w:tcW w:w="2973" w:type="dxa"/>
            <w:noWrap w:val="0"/>
            <w:vAlign w:val="center"/>
          </w:tcPr>
          <w:p>
            <w:pPr>
              <w:widowControl/>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减少污染物排放量；出具监测报告。</w:t>
            </w:r>
          </w:p>
        </w:tc>
        <w:tc>
          <w:tcPr>
            <w:tcW w:w="2937" w:type="dxa"/>
            <w:noWrap w:val="0"/>
            <w:vAlign w:val="center"/>
          </w:tcPr>
          <w:p>
            <w:pPr>
              <w:widowControl/>
              <w:spacing w:line="240" w:lineRule="exact"/>
              <w:rPr>
                <w:rFonts w:ascii="Times New Roman" w:hAnsi="Times New Roman" w:eastAsia="方正仿宋简体" w:cs="宋体"/>
                <w:color w:val="000000"/>
                <w:kern w:val="0"/>
                <w:sz w:val="18"/>
                <w:szCs w:val="18"/>
              </w:rPr>
            </w:pPr>
            <w:r>
              <w:rPr>
                <w:rFonts w:hint="eastAsia" w:ascii="Times New Roman" w:hAnsi="Times New Roman" w:eastAsia="方正仿宋简体" w:cs="宋体"/>
                <w:color w:val="000000"/>
                <w:kern w:val="0"/>
                <w:sz w:val="18"/>
                <w:szCs w:val="18"/>
              </w:rPr>
              <w:t>减少企业污染物排放；加强我市环境执法能力，逐步改善我市环境质量；通过无人机航测飞行服务对相关区域及污染企业情况进行航测，第一时间内真实、有效的获取相关数据成果（多角度全方位拍摄、提供高清影像图片、有详细的属性内容信息）；按照年度计划安排，对安装了污染源远程执法系统的涉水企业进行随机抽查等。</w:t>
            </w:r>
          </w:p>
        </w:tc>
        <w:tc>
          <w:tcPr>
            <w:tcW w:w="750" w:type="dxa"/>
            <w:noWrap w:val="0"/>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100%</w:t>
            </w:r>
          </w:p>
        </w:tc>
        <w:tc>
          <w:tcPr>
            <w:tcW w:w="690" w:type="dxa"/>
            <w:noWrap w:val="0"/>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80%</w:t>
            </w:r>
          </w:p>
        </w:tc>
        <w:tc>
          <w:tcPr>
            <w:tcW w:w="705" w:type="dxa"/>
            <w:noWrap w:val="0"/>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70%</w:t>
            </w:r>
          </w:p>
        </w:tc>
        <w:tc>
          <w:tcPr>
            <w:tcW w:w="693" w:type="dxa"/>
            <w:noWrap w:val="0"/>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2" w:type="dxa"/>
          <w:cantSplit/>
          <w:trHeight w:val="2041" w:hRule="exact"/>
        </w:trPr>
        <w:tc>
          <w:tcPr>
            <w:tcW w:w="1702" w:type="dxa"/>
            <w:vMerge w:val="continue"/>
            <w:noWrap w:val="0"/>
            <w:vAlign w:val="center"/>
          </w:tcPr>
          <w:p>
            <w:pPr>
              <w:widowControl/>
              <w:jc w:val="center"/>
              <w:rPr>
                <w:rFonts w:ascii="Times New Roman" w:hAnsi="Times New Roman" w:eastAsia="方正仿宋简体" w:cs="宋体"/>
                <w:color w:val="000000"/>
                <w:kern w:val="0"/>
              </w:rPr>
            </w:pPr>
          </w:p>
        </w:tc>
        <w:tc>
          <w:tcPr>
            <w:tcW w:w="968" w:type="dxa"/>
            <w:vMerge w:val="continue"/>
            <w:noWrap w:val="0"/>
            <w:vAlign w:val="center"/>
          </w:tcPr>
          <w:p>
            <w:pPr>
              <w:widowControl/>
              <w:jc w:val="right"/>
              <w:rPr>
                <w:rFonts w:ascii="Times New Roman" w:hAnsi="Times New Roman" w:eastAsia="方正仿宋简体" w:cs="宋体"/>
                <w:color w:val="000000"/>
                <w:kern w:val="0"/>
              </w:rPr>
            </w:pPr>
          </w:p>
        </w:tc>
        <w:tc>
          <w:tcPr>
            <w:tcW w:w="3075" w:type="dxa"/>
            <w:vMerge w:val="continue"/>
            <w:noWrap w:val="0"/>
            <w:vAlign w:val="center"/>
          </w:tcPr>
          <w:p>
            <w:pPr>
              <w:widowControl/>
              <w:rPr>
                <w:rFonts w:ascii="Times New Roman" w:hAnsi="Times New Roman" w:eastAsia="方正仿宋简体" w:cs="宋体"/>
                <w:color w:val="000000"/>
                <w:kern w:val="0"/>
              </w:rPr>
            </w:pPr>
          </w:p>
        </w:tc>
        <w:tc>
          <w:tcPr>
            <w:tcW w:w="2973" w:type="dxa"/>
            <w:noWrap w:val="0"/>
            <w:vAlign w:val="center"/>
          </w:tcPr>
          <w:p>
            <w:pPr>
              <w:widowControl/>
              <w:spacing w:line="240" w:lineRule="exact"/>
              <w:rPr>
                <w:rFonts w:ascii="Times New Roman" w:hAnsi="Times New Roman" w:eastAsia="方正仿宋简体" w:cs="宋体"/>
                <w:color w:val="000000"/>
                <w:kern w:val="0"/>
                <w:sz w:val="18"/>
                <w:szCs w:val="18"/>
              </w:rPr>
            </w:pPr>
            <w:r>
              <w:rPr>
                <w:rFonts w:hint="eastAsia" w:ascii="Times New Roman" w:hAnsi="Times New Roman" w:eastAsia="方正仿宋简体" w:cs="宋体"/>
                <w:color w:val="000000"/>
                <w:kern w:val="0"/>
                <w:sz w:val="18"/>
                <w:szCs w:val="18"/>
              </w:rPr>
              <w:t>建立全覆盖管理体系，落实执法责任；规范执法行为；形成一体化平台，提高办公执法效率，提供精准决策依据。从而为我市环境质量改善提供有力保障，应对我市重污染天气，有效降低空气污染程度，保障人民群众身体健康和社会稳定。</w:t>
            </w:r>
          </w:p>
        </w:tc>
        <w:tc>
          <w:tcPr>
            <w:tcW w:w="2937" w:type="dxa"/>
            <w:noWrap w:val="0"/>
            <w:vAlign w:val="center"/>
          </w:tcPr>
          <w:p>
            <w:pPr>
              <w:widowControl/>
              <w:spacing w:line="240" w:lineRule="exac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sz w:val="18"/>
                <w:szCs w:val="18"/>
              </w:rPr>
              <w:t>依托市环保局监控中心监控平台，按照年度计划安排，对安装了污染源远程执法系统的涉污企业进行随机抽查。</w:t>
            </w:r>
          </w:p>
        </w:tc>
        <w:tc>
          <w:tcPr>
            <w:tcW w:w="750" w:type="dxa"/>
            <w:noWrap w:val="0"/>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100%</w:t>
            </w:r>
          </w:p>
        </w:tc>
        <w:tc>
          <w:tcPr>
            <w:tcW w:w="690" w:type="dxa"/>
            <w:noWrap w:val="0"/>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80%</w:t>
            </w:r>
          </w:p>
        </w:tc>
        <w:tc>
          <w:tcPr>
            <w:tcW w:w="705" w:type="dxa"/>
            <w:noWrap w:val="0"/>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70%</w:t>
            </w:r>
          </w:p>
        </w:tc>
        <w:tc>
          <w:tcPr>
            <w:tcW w:w="693" w:type="dxa"/>
            <w:noWrap w:val="0"/>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2" w:type="dxa"/>
          <w:cantSplit/>
          <w:trHeight w:val="720" w:hRule="exact"/>
        </w:trPr>
        <w:tc>
          <w:tcPr>
            <w:tcW w:w="1702" w:type="dxa"/>
            <w:vMerge w:val="continue"/>
            <w:noWrap w:val="0"/>
            <w:vAlign w:val="center"/>
          </w:tcPr>
          <w:p>
            <w:pPr>
              <w:widowControl/>
              <w:jc w:val="center"/>
              <w:rPr>
                <w:rFonts w:ascii="Times New Roman" w:hAnsi="Times New Roman" w:eastAsia="方正仿宋简体" w:cs="宋体"/>
                <w:color w:val="000000"/>
                <w:kern w:val="0"/>
              </w:rPr>
            </w:pPr>
          </w:p>
        </w:tc>
        <w:tc>
          <w:tcPr>
            <w:tcW w:w="968" w:type="dxa"/>
            <w:vMerge w:val="continue"/>
            <w:noWrap w:val="0"/>
            <w:vAlign w:val="center"/>
          </w:tcPr>
          <w:p>
            <w:pPr>
              <w:widowControl/>
              <w:jc w:val="right"/>
              <w:rPr>
                <w:rFonts w:ascii="Times New Roman" w:hAnsi="Times New Roman" w:eastAsia="方正仿宋简体" w:cs="宋体"/>
                <w:color w:val="000000"/>
                <w:kern w:val="0"/>
              </w:rPr>
            </w:pPr>
          </w:p>
        </w:tc>
        <w:tc>
          <w:tcPr>
            <w:tcW w:w="3075" w:type="dxa"/>
            <w:vMerge w:val="continue"/>
            <w:noWrap w:val="0"/>
            <w:vAlign w:val="center"/>
          </w:tcPr>
          <w:p>
            <w:pPr>
              <w:widowControl/>
              <w:rPr>
                <w:rFonts w:ascii="Times New Roman" w:hAnsi="Times New Roman" w:eastAsia="方正仿宋简体" w:cs="宋体"/>
                <w:color w:val="000000"/>
                <w:kern w:val="0"/>
              </w:rPr>
            </w:pPr>
          </w:p>
        </w:tc>
        <w:tc>
          <w:tcPr>
            <w:tcW w:w="2973" w:type="dxa"/>
            <w:noWrap w:val="0"/>
            <w:vAlign w:val="center"/>
          </w:tcPr>
          <w:p>
            <w:pPr>
              <w:widowControl/>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改善全市环境质量</w:t>
            </w:r>
          </w:p>
        </w:tc>
        <w:tc>
          <w:tcPr>
            <w:tcW w:w="2937" w:type="dxa"/>
            <w:noWrap w:val="0"/>
            <w:vAlign w:val="center"/>
          </w:tcPr>
          <w:p>
            <w:pPr>
              <w:widowControl/>
              <w:rPr>
                <w:rFonts w:hint="eastAsia" w:ascii="Times New Roman" w:hAnsi="Times New Roman" w:eastAsia="方正仿宋简体" w:cs="宋体"/>
                <w:color w:val="000000"/>
                <w:kern w:val="0"/>
              </w:rPr>
            </w:pPr>
            <w:r>
              <w:rPr>
                <w:rFonts w:hint="eastAsia" w:ascii="Times New Roman" w:hAnsi="Times New Roman" w:eastAsia="方正仿宋简体" w:cs="宋体"/>
                <w:color w:val="000000"/>
                <w:kern w:val="0"/>
              </w:rPr>
              <w:t>人民群众满意</w:t>
            </w:r>
          </w:p>
        </w:tc>
        <w:tc>
          <w:tcPr>
            <w:tcW w:w="750" w:type="dxa"/>
            <w:noWrap w:val="0"/>
            <w:vAlign w:val="center"/>
          </w:tcPr>
          <w:p>
            <w:pPr>
              <w:widowControl/>
              <w:rPr>
                <w:rFonts w:ascii="Times New Roman" w:hAnsi="Times New Roman" w:eastAsia="方正仿宋简体" w:cs="宋体"/>
                <w:color w:val="000000"/>
                <w:kern w:val="0"/>
              </w:rPr>
            </w:pPr>
          </w:p>
        </w:tc>
        <w:tc>
          <w:tcPr>
            <w:tcW w:w="690" w:type="dxa"/>
            <w:noWrap w:val="0"/>
            <w:vAlign w:val="center"/>
          </w:tcPr>
          <w:p>
            <w:pPr>
              <w:widowControl/>
              <w:rPr>
                <w:rFonts w:ascii="Times New Roman" w:hAnsi="Times New Roman" w:eastAsia="方正仿宋简体" w:cs="宋体"/>
                <w:color w:val="000000"/>
                <w:kern w:val="0"/>
              </w:rPr>
            </w:pPr>
          </w:p>
        </w:tc>
        <w:tc>
          <w:tcPr>
            <w:tcW w:w="705" w:type="dxa"/>
            <w:noWrap w:val="0"/>
            <w:vAlign w:val="center"/>
          </w:tcPr>
          <w:p>
            <w:pPr>
              <w:widowControl/>
              <w:rPr>
                <w:rFonts w:ascii="Times New Roman" w:hAnsi="Times New Roman" w:eastAsia="方正仿宋简体" w:cs="宋体"/>
                <w:color w:val="000000"/>
                <w:kern w:val="0"/>
              </w:rPr>
            </w:pPr>
          </w:p>
        </w:tc>
        <w:tc>
          <w:tcPr>
            <w:tcW w:w="693" w:type="dxa"/>
            <w:noWrap w:val="0"/>
            <w:vAlign w:val="center"/>
          </w:tcPr>
          <w:p>
            <w:pPr>
              <w:widowControl/>
              <w:rPr>
                <w:rFonts w:ascii="Times New Roman" w:hAnsi="Times New Roman" w:eastAsia="方正仿宋简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2" w:type="dxa"/>
          <w:cantSplit/>
          <w:trHeight w:val="356" w:hRule="exact"/>
        </w:trPr>
        <w:tc>
          <w:tcPr>
            <w:tcW w:w="1702" w:type="dxa"/>
            <w:vMerge w:val="restart"/>
            <w:noWrap w:val="0"/>
            <w:vAlign w:val="center"/>
          </w:tcPr>
          <w:p>
            <w:pPr>
              <w:jc w:val="center"/>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大气污染防治</w:t>
            </w:r>
          </w:p>
        </w:tc>
        <w:tc>
          <w:tcPr>
            <w:tcW w:w="968" w:type="dxa"/>
            <w:vMerge w:val="restart"/>
            <w:noWrap w:val="0"/>
            <w:vAlign w:val="center"/>
          </w:tcPr>
          <w:p>
            <w:pPr>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7474.00</w:t>
            </w:r>
          </w:p>
        </w:tc>
        <w:tc>
          <w:tcPr>
            <w:tcW w:w="3075" w:type="dxa"/>
            <w:vMerge w:val="restart"/>
            <w:noWrap w:val="0"/>
            <w:vAlign w:val="center"/>
          </w:tcPr>
          <w:p>
            <w:pPr>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重点对</w:t>
            </w:r>
            <w:r>
              <w:rPr>
                <w:rFonts w:ascii="Times New Roman" w:hAnsi="Times New Roman" w:eastAsia="方正仿宋简体" w:cs="宋体"/>
                <w:color w:val="000000"/>
                <w:kern w:val="0"/>
              </w:rPr>
              <w:t>PM</w:t>
            </w:r>
            <w:r>
              <w:rPr>
                <w:rFonts w:hint="eastAsia" w:ascii="Times New Roman" w:hAnsi="Times New Roman" w:eastAsia="方正仿宋简体" w:cs="宋体"/>
                <w:color w:val="000000"/>
                <w:kern w:val="0"/>
              </w:rPr>
              <w:t>2.5、</w:t>
            </w:r>
            <w:r>
              <w:rPr>
                <w:rFonts w:ascii="Times New Roman" w:hAnsi="Times New Roman" w:eastAsia="方正仿宋简体" w:cs="宋体"/>
                <w:color w:val="000000"/>
                <w:kern w:val="0"/>
              </w:rPr>
              <w:t>VOC</w:t>
            </w:r>
            <w:r>
              <w:rPr>
                <w:rFonts w:hint="eastAsia" w:ascii="Times New Roman" w:hAnsi="Times New Roman" w:eastAsia="方正仿宋简体" w:cs="宋体"/>
                <w:color w:val="000000"/>
                <w:kern w:val="0"/>
              </w:rPr>
              <w:t>、二氧化硫等大气污染物进行综合防治，推动城市环境空气质量改善。</w:t>
            </w:r>
          </w:p>
        </w:tc>
        <w:tc>
          <w:tcPr>
            <w:tcW w:w="2973" w:type="dxa"/>
            <w:noWrap w:val="0"/>
            <w:vAlign w:val="center"/>
          </w:tcPr>
          <w:p>
            <w:pPr>
              <w:widowControl/>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改善我市空气质量</w:t>
            </w:r>
          </w:p>
        </w:tc>
        <w:tc>
          <w:tcPr>
            <w:tcW w:w="2937" w:type="dxa"/>
            <w:noWrap w:val="0"/>
            <w:vAlign w:val="center"/>
          </w:tcPr>
          <w:p>
            <w:pPr>
              <w:widowControl/>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人民群众满意度</w:t>
            </w:r>
          </w:p>
        </w:tc>
        <w:tc>
          <w:tcPr>
            <w:tcW w:w="750" w:type="dxa"/>
            <w:noWrap w:val="0"/>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100%</w:t>
            </w:r>
          </w:p>
        </w:tc>
        <w:tc>
          <w:tcPr>
            <w:tcW w:w="690" w:type="dxa"/>
            <w:noWrap w:val="0"/>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80%</w:t>
            </w:r>
          </w:p>
        </w:tc>
        <w:tc>
          <w:tcPr>
            <w:tcW w:w="705" w:type="dxa"/>
            <w:noWrap w:val="0"/>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60%</w:t>
            </w:r>
          </w:p>
        </w:tc>
        <w:tc>
          <w:tcPr>
            <w:tcW w:w="693" w:type="dxa"/>
            <w:noWrap w:val="0"/>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2" w:type="dxa"/>
          <w:cantSplit/>
          <w:trHeight w:val="2605" w:hRule="exact"/>
        </w:trPr>
        <w:tc>
          <w:tcPr>
            <w:tcW w:w="1702" w:type="dxa"/>
            <w:vMerge w:val="continue"/>
            <w:noWrap w:val="0"/>
            <w:vAlign w:val="center"/>
          </w:tcPr>
          <w:p>
            <w:pPr>
              <w:jc w:val="center"/>
              <w:rPr>
                <w:rFonts w:ascii="Times New Roman" w:hAnsi="Times New Roman" w:eastAsia="方正仿宋简体" w:cs="宋体"/>
                <w:color w:val="000000"/>
                <w:kern w:val="0"/>
              </w:rPr>
            </w:pPr>
          </w:p>
        </w:tc>
        <w:tc>
          <w:tcPr>
            <w:tcW w:w="968" w:type="dxa"/>
            <w:vMerge w:val="continue"/>
            <w:noWrap w:val="0"/>
            <w:vAlign w:val="center"/>
          </w:tcPr>
          <w:p>
            <w:pPr>
              <w:jc w:val="right"/>
              <w:rPr>
                <w:rFonts w:ascii="Times New Roman" w:hAnsi="Times New Roman" w:eastAsia="方正仿宋简体" w:cs="宋体"/>
                <w:color w:val="000000"/>
                <w:kern w:val="0"/>
              </w:rPr>
            </w:pPr>
          </w:p>
        </w:tc>
        <w:tc>
          <w:tcPr>
            <w:tcW w:w="3075" w:type="dxa"/>
            <w:vMerge w:val="continue"/>
            <w:noWrap w:val="0"/>
            <w:vAlign w:val="center"/>
          </w:tcPr>
          <w:p>
            <w:pPr>
              <w:rPr>
                <w:rFonts w:ascii="Times New Roman" w:hAnsi="Times New Roman" w:eastAsia="方正仿宋简体" w:cs="宋体"/>
                <w:color w:val="000000"/>
                <w:kern w:val="0"/>
              </w:rPr>
            </w:pPr>
          </w:p>
        </w:tc>
        <w:tc>
          <w:tcPr>
            <w:tcW w:w="2973" w:type="dxa"/>
            <w:noWrap w:val="0"/>
            <w:vAlign w:val="center"/>
          </w:tcPr>
          <w:p>
            <w:pPr>
              <w:widowControl/>
              <w:spacing w:line="240" w:lineRule="exact"/>
              <w:rPr>
                <w:rFonts w:ascii="Times New Roman" w:hAnsi="Times New Roman" w:eastAsia="方正仿宋简体" w:cs="宋体"/>
                <w:color w:val="000000"/>
                <w:kern w:val="0"/>
                <w:sz w:val="18"/>
                <w:szCs w:val="18"/>
              </w:rPr>
            </w:pPr>
            <w:r>
              <w:rPr>
                <w:rFonts w:hint="eastAsia" w:ascii="Times New Roman" w:hAnsi="Times New Roman" w:eastAsia="方正仿宋简体" w:cs="宋体"/>
                <w:color w:val="000000"/>
                <w:kern w:val="0"/>
                <w:sz w:val="18"/>
                <w:szCs w:val="18"/>
              </w:rPr>
              <w:t>达标规划、唐山市工业污染全面达标排放排查评估编制科学，措施可行，操作性强，按此执行能够实编制空气质量达标规划。有利于进一步提高我市大气污染防治工作管理水平，有指导性实现精准治污，改善我市环境空气质量。进一步加强我市机动车排气污染防治工作，构建符合我市的机动车尾气污染防治体系。</w:t>
            </w:r>
          </w:p>
        </w:tc>
        <w:tc>
          <w:tcPr>
            <w:tcW w:w="2937" w:type="dxa"/>
            <w:noWrap w:val="0"/>
            <w:vAlign w:val="center"/>
          </w:tcPr>
          <w:p>
            <w:pPr>
              <w:widowControl/>
              <w:spacing w:line="240" w:lineRule="exac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sz w:val="18"/>
                <w:szCs w:val="18"/>
              </w:rPr>
              <w:t>对我市调结构、转方式，优化产业布局，调整能源结构，化解过剩产能提供了治理规划；重型柴油车排放污染治理改造示范运行，以及排放污染治理改造技术路线评估和减排效果评估，污染监管平台系统安全、稳定运行</w:t>
            </w:r>
          </w:p>
        </w:tc>
        <w:tc>
          <w:tcPr>
            <w:tcW w:w="750" w:type="dxa"/>
            <w:noWrap w:val="0"/>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100%</w:t>
            </w:r>
          </w:p>
        </w:tc>
        <w:tc>
          <w:tcPr>
            <w:tcW w:w="690" w:type="dxa"/>
            <w:noWrap w:val="0"/>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80%</w:t>
            </w:r>
          </w:p>
        </w:tc>
        <w:tc>
          <w:tcPr>
            <w:tcW w:w="705" w:type="dxa"/>
            <w:noWrap w:val="0"/>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60%</w:t>
            </w:r>
          </w:p>
        </w:tc>
        <w:tc>
          <w:tcPr>
            <w:tcW w:w="693" w:type="dxa"/>
            <w:noWrap w:val="0"/>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2" w:type="dxa"/>
          <w:cantSplit/>
          <w:trHeight w:val="1729" w:hRule="exact"/>
        </w:trPr>
        <w:tc>
          <w:tcPr>
            <w:tcW w:w="1702" w:type="dxa"/>
            <w:vMerge w:val="continue"/>
            <w:noWrap w:val="0"/>
            <w:vAlign w:val="center"/>
          </w:tcPr>
          <w:p>
            <w:pPr>
              <w:widowControl/>
              <w:jc w:val="center"/>
              <w:rPr>
                <w:rFonts w:ascii="Times New Roman" w:hAnsi="Times New Roman" w:eastAsia="方正仿宋简体" w:cs="宋体"/>
                <w:color w:val="000000"/>
                <w:kern w:val="0"/>
              </w:rPr>
            </w:pPr>
          </w:p>
        </w:tc>
        <w:tc>
          <w:tcPr>
            <w:tcW w:w="968" w:type="dxa"/>
            <w:vMerge w:val="continue"/>
            <w:noWrap w:val="0"/>
            <w:vAlign w:val="center"/>
          </w:tcPr>
          <w:p>
            <w:pPr>
              <w:widowControl/>
              <w:jc w:val="right"/>
              <w:rPr>
                <w:rFonts w:ascii="Times New Roman" w:hAnsi="Times New Roman" w:eastAsia="方正仿宋简体" w:cs="宋体"/>
                <w:color w:val="000000"/>
                <w:kern w:val="0"/>
              </w:rPr>
            </w:pPr>
          </w:p>
        </w:tc>
        <w:tc>
          <w:tcPr>
            <w:tcW w:w="3075" w:type="dxa"/>
            <w:vMerge w:val="continue"/>
            <w:noWrap w:val="0"/>
            <w:vAlign w:val="center"/>
          </w:tcPr>
          <w:p>
            <w:pPr>
              <w:widowControl/>
              <w:rPr>
                <w:rFonts w:ascii="Times New Roman" w:hAnsi="Times New Roman" w:eastAsia="方正仿宋简体" w:cs="宋体"/>
                <w:color w:val="000000"/>
                <w:kern w:val="0"/>
              </w:rPr>
            </w:pPr>
          </w:p>
        </w:tc>
        <w:tc>
          <w:tcPr>
            <w:tcW w:w="2973" w:type="dxa"/>
            <w:noWrap w:val="0"/>
            <w:vAlign w:val="center"/>
          </w:tcPr>
          <w:p>
            <w:pPr>
              <w:widowControl/>
              <w:rPr>
                <w:rFonts w:ascii="Times New Roman" w:hAnsi="Times New Roman" w:eastAsia="方正仿宋简体" w:cs="宋体"/>
                <w:color w:val="000000"/>
                <w:kern w:val="0"/>
                <w:sz w:val="18"/>
                <w:szCs w:val="18"/>
              </w:rPr>
            </w:pPr>
            <w:r>
              <w:rPr>
                <w:rFonts w:hint="eastAsia" w:ascii="Times New Roman" w:hAnsi="Times New Roman" w:eastAsia="方正仿宋简体" w:cs="宋体"/>
                <w:color w:val="000000"/>
                <w:kern w:val="0"/>
              </w:rPr>
              <w:t>减少污染物排放</w:t>
            </w:r>
          </w:p>
        </w:tc>
        <w:tc>
          <w:tcPr>
            <w:tcW w:w="2937" w:type="dxa"/>
            <w:noWrap w:val="0"/>
            <w:vAlign w:val="center"/>
          </w:tcPr>
          <w:p>
            <w:pPr>
              <w:widowControl/>
              <w:spacing w:line="240" w:lineRule="exac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了解污染物主要来源情况，对我市大气污染的主要成因，面临形势，主要污染物成因有了更加科学有效的解析，为市委、市政府开展大气污染防治工作提供科学决定依据</w:t>
            </w:r>
          </w:p>
        </w:tc>
        <w:tc>
          <w:tcPr>
            <w:tcW w:w="750" w:type="dxa"/>
            <w:noWrap w:val="0"/>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100%</w:t>
            </w:r>
          </w:p>
        </w:tc>
        <w:tc>
          <w:tcPr>
            <w:tcW w:w="690" w:type="dxa"/>
            <w:noWrap w:val="0"/>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80%</w:t>
            </w:r>
          </w:p>
        </w:tc>
        <w:tc>
          <w:tcPr>
            <w:tcW w:w="705" w:type="dxa"/>
            <w:noWrap w:val="0"/>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60%</w:t>
            </w:r>
          </w:p>
        </w:tc>
        <w:tc>
          <w:tcPr>
            <w:tcW w:w="693" w:type="dxa"/>
            <w:noWrap w:val="0"/>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2" w:type="dxa"/>
          <w:cantSplit/>
          <w:trHeight w:val="2750" w:hRule="atLeast"/>
        </w:trPr>
        <w:tc>
          <w:tcPr>
            <w:tcW w:w="1702" w:type="dxa"/>
            <w:vMerge w:val="restart"/>
            <w:noWrap w:val="0"/>
            <w:vAlign w:val="center"/>
          </w:tcPr>
          <w:p>
            <w:pPr>
              <w:widowControl/>
              <w:spacing w:line="240" w:lineRule="exact"/>
              <w:rPr>
                <w:rFonts w:hint="eastAsia" w:ascii="Times New Roman" w:hAnsi="Times New Roman" w:eastAsia="方正仿宋简体" w:cs="宋体"/>
                <w:color w:val="000000"/>
                <w:kern w:val="0"/>
                <w:sz w:val="18"/>
                <w:szCs w:val="18"/>
              </w:rPr>
            </w:pPr>
            <w:r>
              <w:rPr>
                <w:rFonts w:hint="eastAsia" w:ascii="Times New Roman" w:hAnsi="Times New Roman" w:eastAsia="方正仿宋简体" w:cs="宋体"/>
                <w:color w:val="000000"/>
                <w:kern w:val="0"/>
                <w:sz w:val="18"/>
                <w:szCs w:val="18"/>
              </w:rPr>
              <w:t>水污染防治</w:t>
            </w:r>
          </w:p>
        </w:tc>
        <w:tc>
          <w:tcPr>
            <w:tcW w:w="968" w:type="dxa"/>
            <w:vMerge w:val="restart"/>
            <w:noWrap w:val="0"/>
            <w:vAlign w:val="center"/>
          </w:tcPr>
          <w:p>
            <w:pPr>
              <w:widowControl/>
              <w:spacing w:line="240" w:lineRule="exact"/>
              <w:rPr>
                <w:rFonts w:hint="eastAsia" w:ascii="Times New Roman" w:hAnsi="Times New Roman" w:eastAsia="方正仿宋简体" w:cs="宋体"/>
                <w:color w:val="000000"/>
                <w:kern w:val="0"/>
                <w:sz w:val="18"/>
                <w:szCs w:val="18"/>
              </w:rPr>
            </w:pPr>
            <w:r>
              <w:rPr>
                <w:rFonts w:hint="eastAsia" w:ascii="Times New Roman" w:hAnsi="Times New Roman" w:eastAsia="方正仿宋简体" w:cs="宋体"/>
                <w:color w:val="000000"/>
                <w:kern w:val="0"/>
                <w:sz w:val="18"/>
                <w:szCs w:val="18"/>
              </w:rPr>
              <w:t>660.0</w:t>
            </w:r>
          </w:p>
        </w:tc>
        <w:tc>
          <w:tcPr>
            <w:tcW w:w="3075" w:type="dxa"/>
            <w:vMerge w:val="restart"/>
            <w:noWrap w:val="0"/>
            <w:vAlign w:val="center"/>
          </w:tcPr>
          <w:p>
            <w:pPr>
              <w:widowControl/>
              <w:spacing w:line="240" w:lineRule="exact"/>
              <w:rPr>
                <w:rFonts w:hint="eastAsia" w:ascii="Times New Roman" w:hAnsi="Times New Roman" w:eastAsia="方正仿宋简体" w:cs="宋体"/>
                <w:color w:val="000000"/>
                <w:kern w:val="0"/>
                <w:sz w:val="18"/>
                <w:szCs w:val="18"/>
              </w:rPr>
            </w:pPr>
            <w:r>
              <w:rPr>
                <w:rFonts w:hint="eastAsia" w:ascii="Times New Roman" w:hAnsi="Times New Roman" w:eastAsia="方正仿宋简体" w:cs="宋体"/>
                <w:color w:val="000000"/>
                <w:kern w:val="0"/>
                <w:sz w:val="18"/>
                <w:szCs w:val="18"/>
              </w:rPr>
              <w:t>加强河流湖泊水污染防治、地下水污染防治、近岸海域水污染防治、饮用水源保护、污染水体整治、水污染源监督管理、水污染防治和水环境保护工程。</w:t>
            </w:r>
          </w:p>
          <w:p>
            <w:pPr>
              <w:widowControl/>
              <w:spacing w:line="240" w:lineRule="exact"/>
              <w:rPr>
                <w:rFonts w:hint="eastAsia" w:ascii="Times New Roman" w:hAnsi="Times New Roman" w:eastAsia="方正仿宋简体" w:cs="宋体"/>
                <w:color w:val="000000"/>
                <w:kern w:val="0"/>
                <w:sz w:val="18"/>
                <w:szCs w:val="18"/>
              </w:rPr>
            </w:pPr>
            <w:r>
              <w:rPr>
                <w:rFonts w:hint="eastAsia" w:ascii="Times New Roman" w:hAnsi="Times New Roman" w:eastAsia="方正仿宋简体" w:cs="宋体"/>
                <w:color w:val="000000"/>
                <w:kern w:val="0"/>
                <w:sz w:val="18"/>
                <w:szCs w:val="18"/>
              </w:rPr>
              <w:t>加强全市重点流域、区域、海域污染综合防治</w:t>
            </w:r>
          </w:p>
        </w:tc>
        <w:tc>
          <w:tcPr>
            <w:tcW w:w="2973" w:type="dxa"/>
            <w:noWrap w:val="0"/>
            <w:vAlign w:val="center"/>
          </w:tcPr>
          <w:p>
            <w:pPr>
              <w:widowControl/>
              <w:spacing w:line="240" w:lineRule="exact"/>
              <w:rPr>
                <w:rFonts w:hint="eastAsia" w:ascii="Times New Roman" w:hAnsi="Times New Roman" w:eastAsia="方正仿宋简体" w:cs="宋体"/>
                <w:color w:val="000000"/>
                <w:kern w:val="0"/>
                <w:sz w:val="18"/>
                <w:szCs w:val="18"/>
              </w:rPr>
            </w:pPr>
            <w:r>
              <w:rPr>
                <w:rFonts w:hint="eastAsia" w:ascii="Times New Roman" w:hAnsi="Times New Roman" w:eastAsia="方正仿宋简体" w:cs="宋体"/>
                <w:color w:val="000000"/>
                <w:kern w:val="0"/>
                <w:sz w:val="18"/>
                <w:szCs w:val="18"/>
              </w:rPr>
              <w:t>通过调查与评估，建立全市集中式饮用水水源地基础环境状况数据库，找出水源地环境保护方面存在的问题，提出对策建议。加大建成区水体改善力度，深化重点河流污染防治，加强饮用水水源地保护，加大工业企业治理力度，实施水污染防治系列工程，形成“政府统领、企业施治、市场驱动、公众参与”的水污染防治新机制，改善唐山的水环境质量。</w:t>
            </w:r>
          </w:p>
        </w:tc>
        <w:tc>
          <w:tcPr>
            <w:tcW w:w="2937" w:type="dxa"/>
            <w:noWrap w:val="0"/>
            <w:vAlign w:val="center"/>
          </w:tcPr>
          <w:p>
            <w:pPr>
              <w:widowControl/>
              <w:spacing w:line="240" w:lineRule="exact"/>
              <w:rPr>
                <w:rFonts w:hint="eastAsia" w:ascii="Times New Roman" w:hAnsi="Times New Roman" w:eastAsia="方正仿宋简体" w:cs="宋体"/>
                <w:color w:val="000000"/>
                <w:kern w:val="0"/>
                <w:sz w:val="18"/>
                <w:szCs w:val="18"/>
              </w:rPr>
            </w:pPr>
            <w:r>
              <w:rPr>
                <w:rFonts w:hint="eastAsia" w:ascii="Times New Roman" w:hAnsi="Times New Roman" w:eastAsia="方正仿宋简体" w:cs="宋体"/>
                <w:color w:val="000000"/>
                <w:kern w:val="0"/>
                <w:sz w:val="18"/>
                <w:szCs w:val="18"/>
              </w:rPr>
              <w:t>提交集中式饮用水水源环境状况评估等相关规划方案编制工作。加大建成区水体改善力度，深化重点河流污染防治，加强饮用水水源地保护，加大工业企业治理力度，实施水污染防治系列工程。</w:t>
            </w:r>
          </w:p>
        </w:tc>
        <w:tc>
          <w:tcPr>
            <w:tcW w:w="750" w:type="dxa"/>
            <w:noWrap w:val="0"/>
            <w:vAlign w:val="center"/>
          </w:tcPr>
          <w:p>
            <w:pPr>
              <w:widowControl/>
              <w:spacing w:line="240" w:lineRule="exact"/>
              <w:rPr>
                <w:rFonts w:hint="eastAsia" w:ascii="Times New Roman" w:hAnsi="Times New Roman" w:eastAsia="方正仿宋简体" w:cs="宋体"/>
                <w:color w:val="000000"/>
                <w:kern w:val="0"/>
                <w:sz w:val="18"/>
                <w:szCs w:val="18"/>
              </w:rPr>
            </w:pPr>
            <w:r>
              <w:rPr>
                <w:rFonts w:hint="eastAsia" w:ascii="Times New Roman" w:hAnsi="Times New Roman" w:eastAsia="方正仿宋简体" w:cs="宋体"/>
                <w:color w:val="000000"/>
                <w:kern w:val="0"/>
                <w:sz w:val="18"/>
                <w:szCs w:val="18"/>
              </w:rPr>
              <w:t>100%</w:t>
            </w:r>
          </w:p>
        </w:tc>
        <w:tc>
          <w:tcPr>
            <w:tcW w:w="690" w:type="dxa"/>
            <w:noWrap w:val="0"/>
            <w:vAlign w:val="center"/>
          </w:tcPr>
          <w:p>
            <w:pPr>
              <w:widowControl/>
              <w:spacing w:line="240" w:lineRule="exact"/>
              <w:rPr>
                <w:rFonts w:hint="eastAsia" w:ascii="Times New Roman" w:hAnsi="Times New Roman" w:eastAsia="方正仿宋简体" w:cs="宋体"/>
                <w:color w:val="000000"/>
                <w:kern w:val="0"/>
                <w:sz w:val="18"/>
                <w:szCs w:val="18"/>
              </w:rPr>
            </w:pPr>
            <w:r>
              <w:rPr>
                <w:rFonts w:hint="eastAsia" w:ascii="Times New Roman" w:hAnsi="Times New Roman" w:eastAsia="方正仿宋简体" w:cs="宋体"/>
                <w:color w:val="000000"/>
                <w:kern w:val="0"/>
                <w:sz w:val="18"/>
                <w:szCs w:val="18"/>
              </w:rPr>
              <w:t>80%</w:t>
            </w:r>
          </w:p>
        </w:tc>
        <w:tc>
          <w:tcPr>
            <w:tcW w:w="705" w:type="dxa"/>
            <w:noWrap w:val="0"/>
            <w:vAlign w:val="center"/>
          </w:tcPr>
          <w:p>
            <w:pPr>
              <w:widowControl/>
              <w:spacing w:line="240" w:lineRule="exact"/>
              <w:rPr>
                <w:rFonts w:hint="eastAsia" w:ascii="Times New Roman" w:hAnsi="Times New Roman" w:eastAsia="方正仿宋简体" w:cs="宋体"/>
                <w:color w:val="000000"/>
                <w:kern w:val="0"/>
                <w:sz w:val="18"/>
                <w:szCs w:val="18"/>
              </w:rPr>
            </w:pPr>
            <w:r>
              <w:rPr>
                <w:rFonts w:hint="eastAsia" w:ascii="Times New Roman" w:hAnsi="Times New Roman" w:eastAsia="方正仿宋简体" w:cs="宋体"/>
                <w:color w:val="000000"/>
                <w:kern w:val="0"/>
                <w:sz w:val="18"/>
                <w:szCs w:val="18"/>
              </w:rPr>
              <w:t>70%</w:t>
            </w:r>
          </w:p>
        </w:tc>
        <w:tc>
          <w:tcPr>
            <w:tcW w:w="693" w:type="dxa"/>
            <w:noWrap w:val="0"/>
            <w:vAlign w:val="center"/>
          </w:tcPr>
          <w:p>
            <w:pPr>
              <w:widowControl/>
              <w:spacing w:line="240" w:lineRule="exact"/>
              <w:rPr>
                <w:rFonts w:hint="eastAsia" w:ascii="Times New Roman" w:hAnsi="Times New Roman" w:eastAsia="方正仿宋简体" w:cs="宋体"/>
                <w:color w:val="000000"/>
                <w:kern w:val="0"/>
                <w:sz w:val="18"/>
                <w:szCs w:val="18"/>
              </w:rPr>
            </w:pPr>
            <w:r>
              <w:rPr>
                <w:rFonts w:hint="eastAsia" w:ascii="Times New Roman" w:hAnsi="Times New Roman" w:eastAsia="方正仿宋简体" w:cs="宋体"/>
                <w:color w:val="000000"/>
                <w:kern w:val="0"/>
                <w:sz w:val="18"/>
                <w:szCs w:val="18"/>
              </w:rPr>
              <w:t>达不到实现目标要求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2" w:type="dxa"/>
          <w:cantSplit/>
          <w:trHeight w:val="1093" w:hRule="exact"/>
        </w:trPr>
        <w:tc>
          <w:tcPr>
            <w:tcW w:w="1702" w:type="dxa"/>
            <w:vMerge w:val="continue"/>
            <w:noWrap w:val="0"/>
            <w:vAlign w:val="center"/>
          </w:tcPr>
          <w:p>
            <w:pPr>
              <w:jc w:val="center"/>
              <w:rPr>
                <w:rFonts w:ascii="Times New Roman" w:hAnsi="Times New Roman" w:eastAsia="方正仿宋简体" w:cs="宋体"/>
                <w:color w:val="000000"/>
                <w:kern w:val="0"/>
              </w:rPr>
            </w:pPr>
          </w:p>
        </w:tc>
        <w:tc>
          <w:tcPr>
            <w:tcW w:w="968" w:type="dxa"/>
            <w:vMerge w:val="continue"/>
            <w:noWrap w:val="0"/>
            <w:vAlign w:val="center"/>
          </w:tcPr>
          <w:p>
            <w:pPr>
              <w:jc w:val="right"/>
              <w:rPr>
                <w:rFonts w:ascii="Times New Roman" w:hAnsi="Times New Roman" w:eastAsia="方正仿宋简体" w:cs="宋体"/>
                <w:color w:val="000000"/>
                <w:kern w:val="0"/>
              </w:rPr>
            </w:pPr>
          </w:p>
        </w:tc>
        <w:tc>
          <w:tcPr>
            <w:tcW w:w="3075" w:type="dxa"/>
            <w:vMerge w:val="continue"/>
            <w:noWrap w:val="0"/>
            <w:vAlign w:val="center"/>
          </w:tcPr>
          <w:p>
            <w:pPr>
              <w:rPr>
                <w:rFonts w:ascii="Times New Roman" w:hAnsi="Times New Roman" w:eastAsia="方正仿宋简体" w:cs="宋体"/>
                <w:color w:val="000000"/>
                <w:kern w:val="0"/>
              </w:rPr>
            </w:pPr>
          </w:p>
        </w:tc>
        <w:tc>
          <w:tcPr>
            <w:tcW w:w="2973" w:type="dxa"/>
            <w:noWrap w:val="0"/>
            <w:vAlign w:val="center"/>
          </w:tcPr>
          <w:p>
            <w:pPr>
              <w:widowControl/>
              <w:spacing w:line="240" w:lineRule="exact"/>
              <w:rPr>
                <w:rFonts w:ascii="Times New Roman" w:hAnsi="Times New Roman" w:eastAsia="方正仿宋简体" w:cs="宋体"/>
                <w:color w:val="000000"/>
                <w:kern w:val="0"/>
                <w:sz w:val="18"/>
                <w:szCs w:val="18"/>
              </w:rPr>
            </w:pPr>
            <w:r>
              <w:rPr>
                <w:rFonts w:hint="eastAsia" w:ascii="Times New Roman" w:hAnsi="Times New Roman" w:eastAsia="方正仿宋简体" w:cs="宋体"/>
                <w:color w:val="000000"/>
                <w:kern w:val="0"/>
                <w:sz w:val="18"/>
                <w:szCs w:val="18"/>
              </w:rPr>
              <w:t>逐步改善我市水环境质量</w:t>
            </w:r>
          </w:p>
        </w:tc>
        <w:tc>
          <w:tcPr>
            <w:tcW w:w="2937" w:type="dxa"/>
            <w:noWrap w:val="0"/>
            <w:vAlign w:val="center"/>
          </w:tcPr>
          <w:p>
            <w:pPr>
              <w:widowControl/>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改善水质</w:t>
            </w:r>
          </w:p>
        </w:tc>
        <w:tc>
          <w:tcPr>
            <w:tcW w:w="750" w:type="dxa"/>
            <w:noWrap w:val="0"/>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100%</w:t>
            </w:r>
          </w:p>
        </w:tc>
        <w:tc>
          <w:tcPr>
            <w:tcW w:w="690" w:type="dxa"/>
            <w:noWrap w:val="0"/>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80%</w:t>
            </w:r>
          </w:p>
        </w:tc>
        <w:tc>
          <w:tcPr>
            <w:tcW w:w="705" w:type="dxa"/>
            <w:noWrap w:val="0"/>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70%</w:t>
            </w:r>
          </w:p>
        </w:tc>
        <w:tc>
          <w:tcPr>
            <w:tcW w:w="693" w:type="dxa"/>
            <w:noWrap w:val="0"/>
            <w:vAlign w:val="center"/>
          </w:tcPr>
          <w:p>
            <w:pPr>
              <w:widowControl/>
              <w:spacing w:line="240" w:lineRule="exac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达不到实现目标要求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2" w:type="dxa"/>
          <w:cantSplit/>
          <w:trHeight w:val="1389" w:hRule="exact"/>
        </w:trPr>
        <w:tc>
          <w:tcPr>
            <w:tcW w:w="1702" w:type="dxa"/>
            <w:vMerge w:val="continue"/>
            <w:noWrap w:val="0"/>
            <w:vAlign w:val="center"/>
          </w:tcPr>
          <w:p>
            <w:pPr>
              <w:widowControl/>
              <w:jc w:val="center"/>
              <w:rPr>
                <w:rFonts w:ascii="Times New Roman" w:hAnsi="Times New Roman" w:eastAsia="方正仿宋简体" w:cs="宋体"/>
                <w:color w:val="000000"/>
                <w:kern w:val="0"/>
              </w:rPr>
            </w:pPr>
          </w:p>
        </w:tc>
        <w:tc>
          <w:tcPr>
            <w:tcW w:w="968" w:type="dxa"/>
            <w:vMerge w:val="continue"/>
            <w:noWrap w:val="0"/>
            <w:vAlign w:val="center"/>
          </w:tcPr>
          <w:p>
            <w:pPr>
              <w:widowControl/>
              <w:jc w:val="right"/>
              <w:rPr>
                <w:rFonts w:ascii="Times New Roman" w:hAnsi="Times New Roman" w:eastAsia="方正仿宋简体" w:cs="宋体"/>
                <w:color w:val="000000"/>
                <w:kern w:val="0"/>
              </w:rPr>
            </w:pPr>
          </w:p>
        </w:tc>
        <w:tc>
          <w:tcPr>
            <w:tcW w:w="3075" w:type="dxa"/>
            <w:vMerge w:val="continue"/>
            <w:noWrap w:val="0"/>
            <w:vAlign w:val="center"/>
          </w:tcPr>
          <w:p>
            <w:pPr>
              <w:widowControl/>
              <w:rPr>
                <w:rFonts w:ascii="Times New Roman" w:hAnsi="Times New Roman" w:eastAsia="方正仿宋简体" w:cs="宋体"/>
                <w:color w:val="000000"/>
                <w:kern w:val="0"/>
              </w:rPr>
            </w:pPr>
          </w:p>
        </w:tc>
        <w:tc>
          <w:tcPr>
            <w:tcW w:w="2973" w:type="dxa"/>
            <w:noWrap w:val="0"/>
            <w:vAlign w:val="center"/>
          </w:tcPr>
          <w:p>
            <w:pPr>
              <w:widowControl/>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改善我市水环境质量</w:t>
            </w:r>
          </w:p>
        </w:tc>
        <w:tc>
          <w:tcPr>
            <w:tcW w:w="2937" w:type="dxa"/>
            <w:noWrap w:val="0"/>
            <w:vAlign w:val="center"/>
          </w:tcPr>
          <w:p>
            <w:pPr>
              <w:widowControl/>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人民群众满意度</w:t>
            </w:r>
          </w:p>
        </w:tc>
        <w:tc>
          <w:tcPr>
            <w:tcW w:w="750" w:type="dxa"/>
            <w:noWrap w:val="0"/>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100%</w:t>
            </w:r>
          </w:p>
        </w:tc>
        <w:tc>
          <w:tcPr>
            <w:tcW w:w="690" w:type="dxa"/>
            <w:noWrap w:val="0"/>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80%</w:t>
            </w:r>
          </w:p>
        </w:tc>
        <w:tc>
          <w:tcPr>
            <w:tcW w:w="705" w:type="dxa"/>
            <w:noWrap w:val="0"/>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70%</w:t>
            </w:r>
          </w:p>
        </w:tc>
        <w:tc>
          <w:tcPr>
            <w:tcW w:w="693" w:type="dxa"/>
            <w:noWrap w:val="0"/>
            <w:vAlign w:val="center"/>
          </w:tcPr>
          <w:p>
            <w:pPr>
              <w:widowControl/>
              <w:spacing w:line="240" w:lineRule="exac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达不到实现目标要求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2" w:type="dxa"/>
          <w:cantSplit/>
          <w:trHeight w:val="1812" w:hRule="exact"/>
        </w:trPr>
        <w:tc>
          <w:tcPr>
            <w:tcW w:w="1702" w:type="dxa"/>
            <w:vMerge w:val="restart"/>
            <w:noWrap w:val="0"/>
            <w:vAlign w:val="center"/>
          </w:tcPr>
          <w:p>
            <w:pPr>
              <w:widowControl/>
              <w:jc w:val="center"/>
              <w:rPr>
                <w:rFonts w:hint="eastAsia" w:ascii="Times New Roman" w:hAnsi="Times New Roman" w:eastAsia="方正仿宋简体" w:cs="宋体"/>
                <w:color w:val="000000"/>
                <w:kern w:val="0"/>
              </w:rPr>
            </w:pPr>
            <w:r>
              <w:rPr>
                <w:rFonts w:hint="eastAsia" w:ascii="Times New Roman" w:hAnsi="Times New Roman" w:eastAsia="方正仿宋简体" w:cs="宋体"/>
                <w:color w:val="000000"/>
                <w:kern w:val="0"/>
              </w:rPr>
              <w:t>土壤污染防治</w:t>
            </w:r>
          </w:p>
        </w:tc>
        <w:tc>
          <w:tcPr>
            <w:tcW w:w="968" w:type="dxa"/>
            <w:vMerge w:val="restart"/>
            <w:noWrap w:val="0"/>
            <w:vAlign w:val="center"/>
          </w:tcPr>
          <w:p>
            <w:pPr>
              <w:widowControl/>
              <w:jc w:val="right"/>
              <w:rPr>
                <w:rFonts w:hint="eastAsia" w:ascii="Times New Roman" w:hAnsi="Times New Roman" w:eastAsia="方正仿宋简体" w:cs="宋体"/>
                <w:color w:val="000000"/>
                <w:kern w:val="0"/>
              </w:rPr>
            </w:pPr>
            <w:r>
              <w:rPr>
                <w:rFonts w:hint="eastAsia" w:ascii="Times New Roman" w:hAnsi="Times New Roman" w:eastAsia="方正仿宋简体" w:cs="宋体"/>
                <w:color w:val="000000"/>
                <w:kern w:val="0"/>
              </w:rPr>
              <w:t>50</w:t>
            </w:r>
          </w:p>
        </w:tc>
        <w:tc>
          <w:tcPr>
            <w:tcW w:w="3075" w:type="dxa"/>
            <w:vMerge w:val="restart"/>
            <w:noWrap w:val="0"/>
            <w:vAlign w:val="center"/>
          </w:tcPr>
          <w:p>
            <w:pPr>
              <w:widowControl/>
              <w:spacing w:line="240" w:lineRule="exact"/>
              <w:rPr>
                <w:rFonts w:hint="eastAsia" w:ascii="Times New Roman" w:hAnsi="Times New Roman" w:eastAsia="方正仿宋简体" w:cs="宋体"/>
                <w:color w:val="000000"/>
                <w:kern w:val="0"/>
              </w:rPr>
            </w:pPr>
            <w:r>
              <w:rPr>
                <w:rFonts w:hint="eastAsia" w:ascii="Times New Roman" w:hAnsi="Times New Roman" w:eastAsia="方正仿宋简体" w:cs="宋体"/>
                <w:color w:val="000000"/>
                <w:kern w:val="0"/>
              </w:rPr>
              <w:t>改善土壤环境，对</w:t>
            </w:r>
            <w:r>
              <w:rPr>
                <w:rFonts w:hint="eastAsia" w:ascii="Times New Roman" w:hAnsi="Times New Roman" w:eastAsia="方正仿宋简体"/>
                <w:color w:val="000000"/>
              </w:rPr>
              <w:t>重点行业土壤污染</w:t>
            </w:r>
            <w:r>
              <w:rPr>
                <w:rFonts w:hint="eastAsia" w:ascii="Times New Roman" w:hAnsi="Times New Roman" w:eastAsia="方正仿宋简体" w:cs="宋体"/>
                <w:color w:val="000000"/>
                <w:kern w:val="0"/>
                <w:sz w:val="18"/>
                <w:szCs w:val="18"/>
              </w:rPr>
              <w:t>情况</w:t>
            </w:r>
            <w:r>
              <w:rPr>
                <w:rFonts w:hint="eastAsia" w:ascii="Times New Roman" w:hAnsi="Times New Roman" w:eastAsia="方正仿宋简体"/>
                <w:color w:val="000000"/>
              </w:rPr>
              <w:t>进行调查评估</w:t>
            </w:r>
          </w:p>
        </w:tc>
        <w:tc>
          <w:tcPr>
            <w:tcW w:w="2973" w:type="dxa"/>
            <w:noWrap w:val="0"/>
            <w:vAlign w:val="center"/>
          </w:tcPr>
          <w:p>
            <w:pPr>
              <w:widowControl/>
              <w:spacing w:line="240" w:lineRule="exact"/>
              <w:rPr>
                <w:rFonts w:ascii="Times New Roman" w:hAnsi="Times New Roman" w:eastAsia="方正仿宋简体" w:cs="宋体"/>
                <w:color w:val="000000"/>
                <w:sz w:val="24"/>
                <w:szCs w:val="24"/>
              </w:rPr>
            </w:pPr>
            <w:r>
              <w:rPr>
                <w:rFonts w:hint="eastAsia" w:ascii="Times New Roman" w:hAnsi="Times New Roman" w:eastAsia="方正仿宋简体" w:cs="宋体"/>
                <w:color w:val="000000"/>
                <w:kern w:val="0"/>
                <w:sz w:val="18"/>
                <w:szCs w:val="18"/>
              </w:rPr>
              <w:t>对</w:t>
            </w:r>
            <w:r>
              <w:rPr>
                <w:rFonts w:hint="eastAsia" w:ascii="Times New Roman" w:hAnsi="Times New Roman" w:eastAsia="方正仿宋简体"/>
                <w:color w:val="000000"/>
              </w:rPr>
              <w:t>唐山市已经关闭的焦化等12个重点行业土壤污染情况进行调查评估形成唐山市重点行业土壤污染调查评估。</w:t>
            </w:r>
          </w:p>
        </w:tc>
        <w:tc>
          <w:tcPr>
            <w:tcW w:w="2937" w:type="dxa"/>
            <w:noWrap w:val="0"/>
            <w:vAlign w:val="center"/>
          </w:tcPr>
          <w:p>
            <w:pPr>
              <w:widowControl/>
              <w:spacing w:line="240" w:lineRule="exact"/>
              <w:rPr>
                <w:rFonts w:ascii="Times New Roman" w:hAnsi="Times New Roman" w:eastAsia="方正仿宋简体" w:cs="宋体"/>
                <w:color w:val="000000"/>
                <w:sz w:val="24"/>
                <w:szCs w:val="24"/>
              </w:rPr>
            </w:pPr>
            <w:r>
              <w:rPr>
                <w:rFonts w:hint="eastAsia" w:ascii="Times New Roman" w:hAnsi="Times New Roman" w:eastAsia="方正仿宋简体"/>
                <w:color w:val="000000"/>
              </w:rPr>
              <w:t>对唐山市已经关闭的焦化等12</w:t>
            </w:r>
            <w:r>
              <w:rPr>
                <w:rFonts w:hint="eastAsia" w:ascii="Times New Roman" w:hAnsi="Times New Roman" w:eastAsia="方正仿宋简体" w:cs="宋体"/>
                <w:color w:val="000000"/>
                <w:kern w:val="0"/>
                <w:sz w:val="18"/>
                <w:szCs w:val="18"/>
              </w:rPr>
              <w:t>个</w:t>
            </w:r>
            <w:r>
              <w:rPr>
                <w:rFonts w:hint="eastAsia" w:ascii="Times New Roman" w:hAnsi="Times New Roman" w:eastAsia="方正仿宋简体"/>
                <w:color w:val="000000"/>
              </w:rPr>
              <w:t>重点行业土壤污染情况进行调查评估形成唐山市重点行业土壤污染调查评估。</w:t>
            </w:r>
          </w:p>
        </w:tc>
        <w:tc>
          <w:tcPr>
            <w:tcW w:w="750" w:type="dxa"/>
            <w:noWrap w:val="0"/>
            <w:vAlign w:val="center"/>
          </w:tcPr>
          <w:p>
            <w:pPr>
              <w:widowControl/>
              <w:spacing w:line="240" w:lineRule="exact"/>
              <w:rPr>
                <w:rFonts w:hint="eastAsia" w:ascii="Times New Roman" w:hAnsi="Times New Roman" w:eastAsia="方正仿宋简体"/>
                <w:color w:val="000000"/>
              </w:rPr>
            </w:pPr>
            <w:r>
              <w:rPr>
                <w:rFonts w:hint="eastAsia" w:ascii="Times New Roman" w:hAnsi="Times New Roman" w:eastAsia="方正仿宋简体"/>
                <w:color w:val="000000"/>
              </w:rPr>
              <w:t>全面达到实现目标要求</w:t>
            </w:r>
          </w:p>
          <w:p>
            <w:pPr>
              <w:widowControl/>
              <w:spacing w:line="240" w:lineRule="exact"/>
              <w:rPr>
                <w:rFonts w:hint="eastAsia" w:ascii="Times New Roman" w:hAnsi="Times New Roman" w:eastAsia="方正仿宋简体"/>
                <w:color w:val="000000"/>
              </w:rPr>
            </w:pPr>
          </w:p>
        </w:tc>
        <w:tc>
          <w:tcPr>
            <w:tcW w:w="690" w:type="dxa"/>
            <w:noWrap w:val="0"/>
            <w:vAlign w:val="center"/>
          </w:tcPr>
          <w:p>
            <w:pPr>
              <w:widowControl/>
              <w:spacing w:line="240" w:lineRule="exact"/>
              <w:rPr>
                <w:rFonts w:ascii="Times New Roman" w:hAnsi="Times New Roman" w:eastAsia="方正仿宋简体" w:cs="宋体"/>
                <w:color w:val="000000"/>
                <w:sz w:val="24"/>
                <w:szCs w:val="24"/>
              </w:rPr>
            </w:pPr>
            <w:r>
              <w:rPr>
                <w:rFonts w:hint="eastAsia" w:ascii="Times New Roman" w:hAnsi="Times New Roman" w:eastAsia="方正仿宋简体"/>
                <w:color w:val="000000"/>
              </w:rPr>
              <w:t>基本达到实现目标要求</w:t>
            </w:r>
          </w:p>
          <w:p>
            <w:pPr>
              <w:widowControl/>
              <w:rPr>
                <w:rFonts w:ascii="Times New Roman" w:hAnsi="Times New Roman" w:eastAsia="方正仿宋简体" w:cs="宋体"/>
                <w:color w:val="000000"/>
                <w:kern w:val="0"/>
              </w:rPr>
            </w:pPr>
          </w:p>
        </w:tc>
        <w:tc>
          <w:tcPr>
            <w:tcW w:w="705" w:type="dxa"/>
            <w:noWrap w:val="0"/>
            <w:vAlign w:val="center"/>
          </w:tcPr>
          <w:p>
            <w:pPr>
              <w:widowControl/>
              <w:spacing w:line="240" w:lineRule="exact"/>
              <w:rPr>
                <w:rFonts w:ascii="Times New Roman" w:hAnsi="Times New Roman" w:eastAsia="方正仿宋简体" w:cs="宋体"/>
                <w:color w:val="000000"/>
                <w:sz w:val="24"/>
                <w:szCs w:val="24"/>
              </w:rPr>
            </w:pPr>
            <w:r>
              <w:rPr>
                <w:rFonts w:hint="eastAsia" w:ascii="Times New Roman" w:hAnsi="Times New Roman" w:eastAsia="方正仿宋简体"/>
                <w:color w:val="000000"/>
              </w:rPr>
              <w:t>能够实现目标要求</w:t>
            </w:r>
          </w:p>
          <w:p>
            <w:pPr>
              <w:widowControl/>
              <w:rPr>
                <w:rFonts w:ascii="Times New Roman" w:hAnsi="Times New Roman" w:eastAsia="方正仿宋简体" w:cs="宋体"/>
                <w:color w:val="000000"/>
                <w:kern w:val="0"/>
              </w:rPr>
            </w:pPr>
          </w:p>
        </w:tc>
        <w:tc>
          <w:tcPr>
            <w:tcW w:w="693" w:type="dxa"/>
            <w:noWrap w:val="0"/>
            <w:vAlign w:val="center"/>
          </w:tcPr>
          <w:p>
            <w:pPr>
              <w:widowControl/>
              <w:spacing w:line="240" w:lineRule="exact"/>
              <w:rPr>
                <w:rFonts w:hint="eastAsia" w:ascii="Times New Roman" w:hAnsi="Times New Roman" w:eastAsia="方正仿宋简体"/>
                <w:color w:val="000000"/>
              </w:rPr>
            </w:pPr>
            <w:r>
              <w:rPr>
                <w:rFonts w:hint="eastAsia" w:ascii="Times New Roman" w:hAnsi="Times New Roman" w:eastAsia="方正仿宋简体"/>
                <w:color w:val="000000"/>
              </w:rPr>
              <w:t>达不到实现目标要求</w:t>
            </w:r>
          </w:p>
          <w:p>
            <w:pPr>
              <w:widowControl/>
              <w:spacing w:line="240" w:lineRule="exact"/>
              <w:rPr>
                <w:rFonts w:hint="eastAsia" w:ascii="Times New Roman" w:hAnsi="Times New Roman" w:eastAsia="方正仿宋简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2" w:type="dxa"/>
          <w:cantSplit/>
          <w:trHeight w:val="1621" w:hRule="exact"/>
        </w:trPr>
        <w:tc>
          <w:tcPr>
            <w:tcW w:w="1702" w:type="dxa"/>
            <w:vMerge w:val="continue"/>
            <w:noWrap w:val="0"/>
            <w:vAlign w:val="center"/>
          </w:tcPr>
          <w:p>
            <w:pPr>
              <w:widowControl/>
              <w:jc w:val="center"/>
              <w:rPr>
                <w:rFonts w:ascii="Times New Roman" w:hAnsi="Times New Roman" w:eastAsia="方正仿宋简体" w:cs="宋体"/>
                <w:color w:val="000000"/>
                <w:kern w:val="0"/>
              </w:rPr>
            </w:pPr>
          </w:p>
        </w:tc>
        <w:tc>
          <w:tcPr>
            <w:tcW w:w="968" w:type="dxa"/>
            <w:vMerge w:val="continue"/>
            <w:noWrap w:val="0"/>
            <w:vAlign w:val="center"/>
          </w:tcPr>
          <w:p>
            <w:pPr>
              <w:widowControl/>
              <w:jc w:val="right"/>
              <w:rPr>
                <w:rFonts w:ascii="Times New Roman" w:hAnsi="Times New Roman" w:eastAsia="方正仿宋简体" w:cs="宋体"/>
                <w:color w:val="000000"/>
                <w:kern w:val="0"/>
              </w:rPr>
            </w:pPr>
          </w:p>
        </w:tc>
        <w:tc>
          <w:tcPr>
            <w:tcW w:w="3075" w:type="dxa"/>
            <w:vMerge w:val="continue"/>
            <w:noWrap w:val="0"/>
            <w:vAlign w:val="center"/>
          </w:tcPr>
          <w:p>
            <w:pPr>
              <w:widowControl/>
              <w:rPr>
                <w:rFonts w:ascii="Times New Roman" w:hAnsi="Times New Roman" w:eastAsia="方正仿宋简体" w:cs="宋体"/>
                <w:color w:val="000000"/>
                <w:kern w:val="0"/>
              </w:rPr>
            </w:pPr>
          </w:p>
        </w:tc>
        <w:tc>
          <w:tcPr>
            <w:tcW w:w="2973" w:type="dxa"/>
            <w:noWrap w:val="0"/>
            <w:vAlign w:val="center"/>
          </w:tcPr>
          <w:p>
            <w:pPr>
              <w:widowControl/>
              <w:spacing w:line="240" w:lineRule="exact"/>
              <w:rPr>
                <w:rFonts w:ascii="Times New Roman" w:hAnsi="Times New Roman" w:eastAsia="方正仿宋简体" w:cs="宋体"/>
                <w:color w:val="000000"/>
                <w:sz w:val="24"/>
                <w:szCs w:val="24"/>
              </w:rPr>
            </w:pPr>
            <w:r>
              <w:rPr>
                <w:rFonts w:hint="eastAsia" w:ascii="Times New Roman" w:hAnsi="Times New Roman" w:eastAsia="方正仿宋简体"/>
                <w:color w:val="000000"/>
              </w:rPr>
              <w:t>了解已经关闭的焦化等12个重点行业土壤</w:t>
            </w:r>
            <w:r>
              <w:rPr>
                <w:rFonts w:hint="eastAsia" w:ascii="Times New Roman" w:hAnsi="Times New Roman" w:eastAsia="方正仿宋简体" w:cs="宋体"/>
                <w:color w:val="000000"/>
                <w:kern w:val="0"/>
                <w:sz w:val="18"/>
                <w:szCs w:val="18"/>
              </w:rPr>
              <w:t>污染</w:t>
            </w:r>
            <w:r>
              <w:rPr>
                <w:rFonts w:hint="eastAsia" w:ascii="Times New Roman" w:hAnsi="Times New Roman" w:eastAsia="方正仿宋简体"/>
                <w:color w:val="000000"/>
              </w:rPr>
              <w:t>状况水平，对已经污染的地块进行风险管控，防止污染地块进入用地程序。</w:t>
            </w:r>
          </w:p>
        </w:tc>
        <w:tc>
          <w:tcPr>
            <w:tcW w:w="2937" w:type="dxa"/>
            <w:noWrap w:val="0"/>
            <w:vAlign w:val="center"/>
          </w:tcPr>
          <w:p>
            <w:pPr>
              <w:widowControl/>
              <w:spacing w:line="240" w:lineRule="exact"/>
              <w:rPr>
                <w:rFonts w:ascii="Times New Roman" w:hAnsi="Times New Roman" w:eastAsia="方正仿宋简体" w:cs="宋体"/>
                <w:color w:val="000000"/>
                <w:sz w:val="24"/>
                <w:szCs w:val="24"/>
              </w:rPr>
            </w:pPr>
            <w:r>
              <w:rPr>
                <w:rFonts w:hint="eastAsia" w:ascii="Times New Roman" w:hAnsi="Times New Roman" w:eastAsia="方正仿宋简体"/>
                <w:color w:val="000000"/>
              </w:rPr>
              <w:t>摸排已经关闭</w:t>
            </w:r>
            <w:r>
              <w:rPr>
                <w:rFonts w:hint="eastAsia" w:ascii="Times New Roman" w:hAnsi="Times New Roman" w:eastAsia="方正仿宋简体" w:cs="宋体"/>
                <w:color w:val="000000"/>
                <w:kern w:val="0"/>
                <w:sz w:val="18"/>
                <w:szCs w:val="18"/>
              </w:rPr>
              <w:t>的</w:t>
            </w:r>
            <w:r>
              <w:rPr>
                <w:rFonts w:hint="eastAsia" w:ascii="Times New Roman" w:hAnsi="Times New Roman" w:eastAsia="方正仿宋简体"/>
                <w:color w:val="000000"/>
              </w:rPr>
              <w:t>焦化等12个重点行业</w:t>
            </w:r>
            <w:r>
              <w:rPr>
                <w:rFonts w:hint="eastAsia" w:ascii="Times New Roman" w:hAnsi="Times New Roman" w:eastAsia="方正仿宋简体" w:cs="宋体"/>
                <w:color w:val="000000"/>
                <w:kern w:val="0"/>
                <w:sz w:val="18"/>
                <w:szCs w:val="18"/>
              </w:rPr>
              <w:t>土壤</w:t>
            </w:r>
            <w:r>
              <w:rPr>
                <w:rFonts w:hint="eastAsia" w:ascii="Times New Roman" w:hAnsi="Times New Roman" w:eastAsia="方正仿宋简体"/>
                <w:color w:val="000000"/>
              </w:rPr>
              <w:t>污染情况,对已经污染的地块进行风险管控。</w:t>
            </w:r>
          </w:p>
        </w:tc>
        <w:tc>
          <w:tcPr>
            <w:tcW w:w="750" w:type="dxa"/>
            <w:noWrap w:val="0"/>
            <w:vAlign w:val="center"/>
          </w:tcPr>
          <w:p>
            <w:pPr>
              <w:widowControl/>
              <w:spacing w:line="240" w:lineRule="exact"/>
              <w:rPr>
                <w:rFonts w:ascii="Times New Roman" w:hAnsi="Times New Roman" w:eastAsia="方正仿宋简体" w:cs="宋体"/>
                <w:color w:val="000000"/>
                <w:sz w:val="24"/>
                <w:szCs w:val="24"/>
              </w:rPr>
            </w:pPr>
            <w:r>
              <w:rPr>
                <w:rFonts w:hint="eastAsia" w:ascii="Times New Roman" w:hAnsi="Times New Roman" w:eastAsia="方正仿宋简体"/>
                <w:color w:val="000000"/>
              </w:rPr>
              <w:t>全面达到实现目标要求</w:t>
            </w:r>
          </w:p>
          <w:p>
            <w:pPr>
              <w:widowControl/>
              <w:rPr>
                <w:rFonts w:ascii="Times New Roman" w:hAnsi="Times New Roman" w:eastAsia="方正仿宋简体" w:cs="宋体"/>
                <w:color w:val="000000"/>
                <w:kern w:val="0"/>
              </w:rPr>
            </w:pPr>
          </w:p>
        </w:tc>
        <w:tc>
          <w:tcPr>
            <w:tcW w:w="690" w:type="dxa"/>
            <w:noWrap w:val="0"/>
            <w:vAlign w:val="center"/>
          </w:tcPr>
          <w:p>
            <w:pPr>
              <w:widowControl/>
              <w:spacing w:line="240" w:lineRule="exact"/>
              <w:rPr>
                <w:rFonts w:ascii="Times New Roman" w:hAnsi="Times New Roman" w:eastAsia="方正仿宋简体" w:cs="宋体"/>
                <w:color w:val="000000"/>
                <w:sz w:val="24"/>
                <w:szCs w:val="24"/>
              </w:rPr>
            </w:pPr>
            <w:r>
              <w:rPr>
                <w:rFonts w:hint="eastAsia" w:ascii="Times New Roman" w:hAnsi="Times New Roman" w:eastAsia="方正仿宋简体"/>
                <w:color w:val="000000"/>
              </w:rPr>
              <w:t>基本达到实现目标要求</w:t>
            </w:r>
          </w:p>
          <w:p>
            <w:pPr>
              <w:widowControl/>
              <w:rPr>
                <w:rFonts w:ascii="Times New Roman" w:hAnsi="Times New Roman" w:eastAsia="方正仿宋简体" w:cs="宋体"/>
                <w:color w:val="000000"/>
                <w:kern w:val="0"/>
              </w:rPr>
            </w:pPr>
          </w:p>
        </w:tc>
        <w:tc>
          <w:tcPr>
            <w:tcW w:w="705" w:type="dxa"/>
            <w:noWrap w:val="0"/>
            <w:vAlign w:val="center"/>
          </w:tcPr>
          <w:p>
            <w:pPr>
              <w:widowControl/>
              <w:spacing w:line="240" w:lineRule="exact"/>
              <w:rPr>
                <w:rFonts w:ascii="Times New Roman" w:hAnsi="Times New Roman" w:eastAsia="方正仿宋简体" w:cs="宋体"/>
                <w:color w:val="000000"/>
                <w:sz w:val="24"/>
                <w:szCs w:val="24"/>
              </w:rPr>
            </w:pPr>
            <w:r>
              <w:rPr>
                <w:rFonts w:hint="eastAsia" w:ascii="Times New Roman" w:hAnsi="Times New Roman" w:eastAsia="方正仿宋简体"/>
                <w:color w:val="000000"/>
              </w:rPr>
              <w:t>能够实现目标要求</w:t>
            </w:r>
          </w:p>
          <w:p>
            <w:pPr>
              <w:widowControl/>
              <w:rPr>
                <w:rFonts w:ascii="Times New Roman" w:hAnsi="Times New Roman" w:eastAsia="方正仿宋简体" w:cs="宋体"/>
                <w:color w:val="000000"/>
                <w:kern w:val="0"/>
              </w:rPr>
            </w:pPr>
          </w:p>
        </w:tc>
        <w:tc>
          <w:tcPr>
            <w:tcW w:w="693" w:type="dxa"/>
            <w:noWrap w:val="0"/>
            <w:vAlign w:val="center"/>
          </w:tcPr>
          <w:p>
            <w:pPr>
              <w:widowControl/>
              <w:spacing w:line="240" w:lineRule="exact"/>
              <w:rPr>
                <w:rFonts w:ascii="Times New Roman" w:hAnsi="Times New Roman" w:eastAsia="方正仿宋简体" w:cs="宋体"/>
                <w:color w:val="000000"/>
                <w:sz w:val="24"/>
                <w:szCs w:val="24"/>
              </w:rPr>
            </w:pPr>
            <w:r>
              <w:rPr>
                <w:rFonts w:hint="eastAsia" w:ascii="Times New Roman" w:hAnsi="Times New Roman" w:eastAsia="方正仿宋简体"/>
                <w:color w:val="000000"/>
              </w:rPr>
              <w:t>达不到实现目标要求</w:t>
            </w:r>
          </w:p>
          <w:p>
            <w:pPr>
              <w:widowControl/>
              <w:rPr>
                <w:rFonts w:hint="eastAsia" w:ascii="Times New Roman" w:hAnsi="Times New Roman" w:eastAsia="方正仿宋简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2" w:type="dxa"/>
          <w:cantSplit/>
          <w:trHeight w:val="1724" w:hRule="exact"/>
        </w:trPr>
        <w:tc>
          <w:tcPr>
            <w:tcW w:w="1702" w:type="dxa"/>
            <w:vMerge w:val="continue"/>
            <w:noWrap w:val="0"/>
            <w:vAlign w:val="center"/>
          </w:tcPr>
          <w:p>
            <w:pPr>
              <w:widowControl/>
              <w:jc w:val="center"/>
              <w:rPr>
                <w:rFonts w:ascii="Times New Roman" w:hAnsi="Times New Roman" w:eastAsia="方正仿宋简体" w:cs="宋体"/>
                <w:color w:val="000000"/>
                <w:kern w:val="0"/>
              </w:rPr>
            </w:pPr>
          </w:p>
        </w:tc>
        <w:tc>
          <w:tcPr>
            <w:tcW w:w="968" w:type="dxa"/>
            <w:vMerge w:val="continue"/>
            <w:noWrap w:val="0"/>
            <w:vAlign w:val="center"/>
          </w:tcPr>
          <w:p>
            <w:pPr>
              <w:widowControl/>
              <w:jc w:val="right"/>
              <w:rPr>
                <w:rFonts w:ascii="Times New Roman" w:hAnsi="Times New Roman" w:eastAsia="方正仿宋简体" w:cs="宋体"/>
                <w:color w:val="000000"/>
                <w:kern w:val="0"/>
              </w:rPr>
            </w:pPr>
          </w:p>
        </w:tc>
        <w:tc>
          <w:tcPr>
            <w:tcW w:w="3075" w:type="dxa"/>
            <w:vMerge w:val="continue"/>
            <w:noWrap w:val="0"/>
            <w:vAlign w:val="center"/>
          </w:tcPr>
          <w:p>
            <w:pPr>
              <w:widowControl/>
              <w:rPr>
                <w:rFonts w:ascii="Times New Roman" w:hAnsi="Times New Roman" w:eastAsia="方正仿宋简体" w:cs="宋体"/>
                <w:color w:val="000000"/>
                <w:kern w:val="0"/>
              </w:rPr>
            </w:pPr>
          </w:p>
        </w:tc>
        <w:tc>
          <w:tcPr>
            <w:tcW w:w="2973" w:type="dxa"/>
            <w:noWrap w:val="0"/>
            <w:vAlign w:val="center"/>
          </w:tcPr>
          <w:p>
            <w:pPr>
              <w:widowControl/>
              <w:spacing w:line="240" w:lineRule="exact"/>
              <w:rPr>
                <w:rFonts w:hint="eastAsia" w:ascii="Times New Roman" w:hAnsi="Times New Roman" w:eastAsia="方正仿宋简体" w:cs="宋体"/>
                <w:color w:val="000000"/>
                <w:kern w:val="0"/>
                <w:sz w:val="18"/>
                <w:szCs w:val="18"/>
              </w:rPr>
            </w:pPr>
            <w:r>
              <w:rPr>
                <w:rFonts w:hint="eastAsia" w:ascii="Times New Roman" w:hAnsi="Times New Roman" w:eastAsia="方正仿宋简体" w:cs="宋体"/>
                <w:color w:val="000000"/>
                <w:kern w:val="0"/>
                <w:sz w:val="18"/>
                <w:szCs w:val="18"/>
              </w:rPr>
              <w:t>改善土壤环境质量</w:t>
            </w:r>
          </w:p>
        </w:tc>
        <w:tc>
          <w:tcPr>
            <w:tcW w:w="2937" w:type="dxa"/>
            <w:noWrap w:val="0"/>
            <w:vAlign w:val="center"/>
          </w:tcPr>
          <w:p>
            <w:pPr>
              <w:widowControl/>
              <w:spacing w:line="240" w:lineRule="exact"/>
              <w:rPr>
                <w:rFonts w:ascii="Times New Roman" w:hAnsi="Times New Roman" w:eastAsia="方正仿宋简体" w:cs="宋体"/>
                <w:color w:val="000000"/>
                <w:sz w:val="24"/>
                <w:szCs w:val="24"/>
              </w:rPr>
            </w:pPr>
            <w:r>
              <w:rPr>
                <w:rFonts w:hint="eastAsia" w:ascii="Times New Roman" w:hAnsi="Times New Roman" w:eastAsia="方正仿宋简体"/>
                <w:color w:val="000000"/>
              </w:rPr>
              <w:t>人民群众</w:t>
            </w:r>
            <w:r>
              <w:rPr>
                <w:rFonts w:hint="eastAsia" w:ascii="Times New Roman" w:hAnsi="Times New Roman" w:eastAsia="方正仿宋简体" w:cs="宋体"/>
                <w:color w:val="000000"/>
                <w:kern w:val="0"/>
                <w:sz w:val="18"/>
                <w:szCs w:val="18"/>
              </w:rPr>
              <w:t>满意度</w:t>
            </w:r>
          </w:p>
        </w:tc>
        <w:tc>
          <w:tcPr>
            <w:tcW w:w="750" w:type="dxa"/>
            <w:noWrap w:val="0"/>
            <w:vAlign w:val="center"/>
          </w:tcPr>
          <w:p>
            <w:pPr>
              <w:widowControl/>
              <w:spacing w:line="240" w:lineRule="exact"/>
              <w:rPr>
                <w:rFonts w:hint="eastAsia" w:ascii="Times New Roman" w:hAnsi="Times New Roman" w:eastAsia="方正仿宋简体"/>
                <w:color w:val="000000"/>
              </w:rPr>
            </w:pPr>
            <w:r>
              <w:rPr>
                <w:rFonts w:hint="eastAsia" w:ascii="Times New Roman" w:hAnsi="Times New Roman" w:eastAsia="方正仿宋简体"/>
                <w:color w:val="000000"/>
              </w:rPr>
              <w:t>全面达到实现目标要求</w:t>
            </w:r>
          </w:p>
          <w:p>
            <w:pPr>
              <w:widowControl/>
              <w:spacing w:line="240" w:lineRule="exact"/>
              <w:rPr>
                <w:rFonts w:hint="eastAsia" w:ascii="Times New Roman" w:hAnsi="Times New Roman" w:eastAsia="方正仿宋简体"/>
                <w:color w:val="000000"/>
              </w:rPr>
            </w:pPr>
          </w:p>
        </w:tc>
        <w:tc>
          <w:tcPr>
            <w:tcW w:w="690" w:type="dxa"/>
            <w:noWrap w:val="0"/>
            <w:vAlign w:val="center"/>
          </w:tcPr>
          <w:p>
            <w:pPr>
              <w:widowControl/>
              <w:spacing w:line="240" w:lineRule="exact"/>
              <w:rPr>
                <w:rFonts w:hint="eastAsia" w:ascii="Times New Roman" w:hAnsi="Times New Roman" w:eastAsia="方正仿宋简体"/>
                <w:color w:val="000000"/>
              </w:rPr>
            </w:pPr>
            <w:r>
              <w:rPr>
                <w:rFonts w:hint="eastAsia" w:ascii="Times New Roman" w:hAnsi="Times New Roman" w:eastAsia="方正仿宋简体"/>
                <w:color w:val="000000"/>
              </w:rPr>
              <w:t>基本达到实现目标要求</w:t>
            </w:r>
          </w:p>
          <w:p>
            <w:pPr>
              <w:widowControl/>
              <w:spacing w:line="240" w:lineRule="exact"/>
              <w:rPr>
                <w:rFonts w:hint="eastAsia" w:ascii="Times New Roman" w:hAnsi="Times New Roman" w:eastAsia="方正仿宋简体"/>
                <w:color w:val="000000"/>
              </w:rPr>
            </w:pPr>
          </w:p>
        </w:tc>
        <w:tc>
          <w:tcPr>
            <w:tcW w:w="705" w:type="dxa"/>
            <w:noWrap w:val="0"/>
            <w:vAlign w:val="center"/>
          </w:tcPr>
          <w:p>
            <w:pPr>
              <w:widowControl/>
              <w:spacing w:line="240" w:lineRule="exact"/>
              <w:rPr>
                <w:rFonts w:hint="eastAsia" w:ascii="Times New Roman" w:hAnsi="Times New Roman" w:eastAsia="方正仿宋简体"/>
                <w:color w:val="000000"/>
              </w:rPr>
            </w:pPr>
            <w:r>
              <w:rPr>
                <w:rFonts w:hint="eastAsia" w:ascii="Times New Roman" w:hAnsi="Times New Roman" w:eastAsia="方正仿宋简体"/>
                <w:color w:val="000000"/>
              </w:rPr>
              <w:t>能够达到实现目标要求</w:t>
            </w:r>
          </w:p>
          <w:p>
            <w:pPr>
              <w:widowControl/>
              <w:spacing w:line="240" w:lineRule="exact"/>
              <w:rPr>
                <w:rFonts w:hint="eastAsia" w:ascii="Times New Roman" w:hAnsi="Times New Roman" w:eastAsia="方正仿宋简体"/>
                <w:color w:val="000000"/>
              </w:rPr>
            </w:pPr>
          </w:p>
        </w:tc>
        <w:tc>
          <w:tcPr>
            <w:tcW w:w="693" w:type="dxa"/>
            <w:noWrap w:val="0"/>
            <w:vAlign w:val="center"/>
          </w:tcPr>
          <w:p>
            <w:pPr>
              <w:widowControl/>
              <w:spacing w:line="240" w:lineRule="exact"/>
              <w:rPr>
                <w:rFonts w:hint="eastAsia" w:ascii="Times New Roman" w:hAnsi="Times New Roman" w:eastAsia="方正仿宋简体"/>
                <w:color w:val="000000"/>
              </w:rPr>
            </w:pPr>
            <w:r>
              <w:rPr>
                <w:rFonts w:hint="eastAsia" w:ascii="Times New Roman" w:hAnsi="Times New Roman" w:eastAsia="方正仿宋简体"/>
                <w:color w:val="000000"/>
              </w:rPr>
              <w:t>达不到实现目标要求</w:t>
            </w:r>
          </w:p>
          <w:p>
            <w:pPr>
              <w:widowControl/>
              <w:spacing w:line="240" w:lineRule="exact"/>
              <w:rPr>
                <w:rFonts w:hint="eastAsia" w:ascii="Times New Roman" w:hAnsi="Times New Roman" w:eastAsia="方正仿宋简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2" w:type="dxa"/>
          <w:cantSplit/>
          <w:trHeight w:val="1902" w:hRule="exact"/>
        </w:trPr>
        <w:tc>
          <w:tcPr>
            <w:tcW w:w="1702" w:type="dxa"/>
            <w:vMerge w:val="restart"/>
            <w:noWrap w:val="0"/>
            <w:vAlign w:val="center"/>
          </w:tcPr>
          <w:p>
            <w:pPr>
              <w:jc w:val="center"/>
              <w:rPr>
                <w:rFonts w:hint="eastAsia" w:ascii="Times New Roman" w:hAnsi="Times New Roman" w:eastAsia="方正仿宋简体"/>
                <w:color w:val="000000"/>
              </w:rPr>
            </w:pPr>
            <w:r>
              <w:rPr>
                <w:rFonts w:hint="eastAsia" w:ascii="Times New Roman" w:hAnsi="Times New Roman" w:eastAsia="方正仿宋简体"/>
                <w:color w:val="000000"/>
              </w:rPr>
              <w:t>环保上划</w:t>
            </w:r>
          </w:p>
          <w:p>
            <w:pPr>
              <w:jc w:val="center"/>
              <w:rPr>
                <w:rFonts w:ascii="Times New Roman" w:hAnsi="Times New Roman" w:eastAsia="方正仿宋简体" w:cs="宋体"/>
                <w:color w:val="000000"/>
                <w:kern w:val="0"/>
              </w:rPr>
            </w:pPr>
            <w:r>
              <w:rPr>
                <w:rFonts w:hint="eastAsia" w:ascii="Times New Roman" w:hAnsi="Times New Roman" w:eastAsia="方正仿宋简体"/>
                <w:color w:val="000000"/>
              </w:rPr>
              <w:t>改革经费</w:t>
            </w:r>
          </w:p>
        </w:tc>
        <w:tc>
          <w:tcPr>
            <w:tcW w:w="968" w:type="dxa"/>
            <w:vMerge w:val="restart"/>
            <w:noWrap w:val="0"/>
            <w:vAlign w:val="center"/>
          </w:tcPr>
          <w:p>
            <w:pPr>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500.00</w:t>
            </w:r>
          </w:p>
        </w:tc>
        <w:tc>
          <w:tcPr>
            <w:tcW w:w="3075" w:type="dxa"/>
            <w:vMerge w:val="restart"/>
            <w:noWrap w:val="0"/>
            <w:vAlign w:val="center"/>
          </w:tcPr>
          <w:p>
            <w:pPr>
              <w:widowControl/>
              <w:spacing w:line="240" w:lineRule="exac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确保环保队伍稳定，工作紧密衔接，积极</w:t>
            </w:r>
            <w:r>
              <w:rPr>
                <w:rFonts w:hint="eastAsia" w:ascii="Times New Roman" w:hAnsi="Times New Roman" w:eastAsia="方正仿宋简体" w:cs="宋体"/>
                <w:color w:val="000000"/>
                <w:kern w:val="0"/>
                <w:sz w:val="18"/>
                <w:szCs w:val="18"/>
              </w:rPr>
              <w:t>推进</w:t>
            </w:r>
            <w:r>
              <w:rPr>
                <w:rFonts w:hint="eastAsia" w:ascii="Times New Roman" w:hAnsi="Times New Roman" w:eastAsia="方正仿宋简体" w:cs="宋体"/>
                <w:color w:val="000000"/>
                <w:kern w:val="0"/>
              </w:rPr>
              <w:t>环保系统体制调整和人、财、物划转工作。负责环境保护系统综合业务管理和机关综合事务管理。</w:t>
            </w:r>
          </w:p>
        </w:tc>
        <w:tc>
          <w:tcPr>
            <w:tcW w:w="2973" w:type="dxa"/>
            <w:noWrap w:val="0"/>
            <w:vAlign w:val="center"/>
          </w:tcPr>
          <w:p>
            <w:pPr>
              <w:widowControl/>
              <w:spacing w:line="240" w:lineRule="exact"/>
              <w:rPr>
                <w:rFonts w:ascii="Times New Roman" w:hAnsi="Times New Roman" w:eastAsia="方正仿宋简体" w:cs="宋体"/>
                <w:color w:val="000000"/>
                <w:sz w:val="24"/>
                <w:szCs w:val="24"/>
              </w:rPr>
            </w:pPr>
            <w:r>
              <w:rPr>
                <w:rFonts w:hint="eastAsia" w:ascii="Times New Roman" w:hAnsi="Times New Roman" w:eastAsia="方正仿宋简体"/>
                <w:color w:val="000000"/>
              </w:rPr>
              <w:t>确保环保</w:t>
            </w:r>
            <w:r>
              <w:rPr>
                <w:rFonts w:hint="eastAsia" w:ascii="Times New Roman" w:hAnsi="Times New Roman" w:eastAsia="方正仿宋简体" w:cs="宋体"/>
                <w:color w:val="000000"/>
                <w:kern w:val="0"/>
                <w:sz w:val="18"/>
                <w:szCs w:val="18"/>
              </w:rPr>
              <w:t>队伍</w:t>
            </w:r>
            <w:r>
              <w:rPr>
                <w:rFonts w:hint="eastAsia" w:ascii="Times New Roman" w:hAnsi="Times New Roman" w:eastAsia="方正仿宋简体"/>
                <w:color w:val="000000"/>
              </w:rPr>
              <w:t>稳定，工作紧密衔接，积极推进环保系统体制调整和人、财、物划转工作</w:t>
            </w:r>
          </w:p>
        </w:tc>
        <w:tc>
          <w:tcPr>
            <w:tcW w:w="2937" w:type="dxa"/>
            <w:noWrap w:val="0"/>
            <w:vAlign w:val="center"/>
          </w:tcPr>
          <w:p>
            <w:pPr>
              <w:widowControl/>
              <w:spacing w:line="240" w:lineRule="exact"/>
              <w:rPr>
                <w:rFonts w:ascii="Times New Roman" w:hAnsi="Times New Roman" w:eastAsia="方正仿宋简体" w:cs="宋体"/>
                <w:color w:val="000000"/>
                <w:sz w:val="24"/>
                <w:szCs w:val="24"/>
              </w:rPr>
            </w:pPr>
            <w:r>
              <w:rPr>
                <w:rFonts w:hint="eastAsia" w:ascii="Times New Roman" w:hAnsi="Times New Roman" w:eastAsia="方正仿宋简体"/>
                <w:color w:val="000000"/>
              </w:rPr>
              <w:t>确保环保队伍稳定，工作紧密衔接，积极推进环保系统体制调整和人、</w:t>
            </w:r>
            <w:r>
              <w:rPr>
                <w:rFonts w:hint="eastAsia" w:ascii="Times New Roman" w:hAnsi="Times New Roman" w:eastAsia="方正仿宋简体" w:cs="宋体"/>
                <w:color w:val="000000"/>
                <w:kern w:val="0"/>
                <w:sz w:val="18"/>
                <w:szCs w:val="18"/>
              </w:rPr>
              <w:t>财</w:t>
            </w:r>
            <w:r>
              <w:rPr>
                <w:rFonts w:hint="eastAsia" w:ascii="Times New Roman" w:hAnsi="Times New Roman" w:eastAsia="方正仿宋简体"/>
                <w:color w:val="000000"/>
              </w:rPr>
              <w:t>、物划转工作</w:t>
            </w:r>
          </w:p>
        </w:tc>
        <w:tc>
          <w:tcPr>
            <w:tcW w:w="750" w:type="dxa"/>
            <w:noWrap w:val="0"/>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90%</w:t>
            </w:r>
          </w:p>
        </w:tc>
        <w:tc>
          <w:tcPr>
            <w:tcW w:w="690" w:type="dxa"/>
            <w:noWrap w:val="0"/>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80%</w:t>
            </w:r>
          </w:p>
        </w:tc>
        <w:tc>
          <w:tcPr>
            <w:tcW w:w="705" w:type="dxa"/>
            <w:noWrap w:val="0"/>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70%</w:t>
            </w:r>
          </w:p>
        </w:tc>
        <w:tc>
          <w:tcPr>
            <w:tcW w:w="693" w:type="dxa"/>
            <w:noWrap w:val="0"/>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2" w:type="dxa"/>
          <w:cantSplit/>
          <w:trHeight w:val="1335" w:hRule="exact"/>
        </w:trPr>
        <w:tc>
          <w:tcPr>
            <w:tcW w:w="1702" w:type="dxa"/>
            <w:vMerge w:val="continue"/>
            <w:noWrap w:val="0"/>
            <w:vAlign w:val="center"/>
          </w:tcPr>
          <w:p>
            <w:pPr>
              <w:jc w:val="center"/>
              <w:rPr>
                <w:rFonts w:ascii="Times New Roman" w:hAnsi="Times New Roman" w:eastAsia="方正仿宋简体" w:cs="宋体"/>
                <w:color w:val="000000"/>
                <w:kern w:val="0"/>
              </w:rPr>
            </w:pPr>
          </w:p>
        </w:tc>
        <w:tc>
          <w:tcPr>
            <w:tcW w:w="968" w:type="dxa"/>
            <w:vMerge w:val="continue"/>
            <w:noWrap w:val="0"/>
            <w:vAlign w:val="center"/>
          </w:tcPr>
          <w:p>
            <w:pPr>
              <w:jc w:val="right"/>
              <w:rPr>
                <w:rFonts w:ascii="Times New Roman" w:hAnsi="Times New Roman" w:eastAsia="方正仿宋简体" w:cs="宋体"/>
                <w:color w:val="000000"/>
                <w:kern w:val="0"/>
              </w:rPr>
            </w:pPr>
          </w:p>
        </w:tc>
        <w:tc>
          <w:tcPr>
            <w:tcW w:w="3075" w:type="dxa"/>
            <w:vMerge w:val="continue"/>
            <w:noWrap w:val="0"/>
            <w:vAlign w:val="center"/>
          </w:tcPr>
          <w:p>
            <w:pPr>
              <w:widowControl/>
              <w:rPr>
                <w:rFonts w:ascii="Times New Roman" w:hAnsi="Times New Roman" w:eastAsia="方正仿宋简体" w:cs="宋体"/>
                <w:color w:val="000000"/>
                <w:kern w:val="0"/>
              </w:rPr>
            </w:pPr>
          </w:p>
        </w:tc>
        <w:tc>
          <w:tcPr>
            <w:tcW w:w="2973" w:type="dxa"/>
            <w:noWrap w:val="0"/>
            <w:vAlign w:val="center"/>
          </w:tcPr>
          <w:p>
            <w:pPr>
              <w:widowControl/>
              <w:spacing w:line="240" w:lineRule="exact"/>
              <w:rPr>
                <w:rFonts w:hint="eastAsia" w:ascii="Times New Roman" w:hAnsi="Times New Roman" w:eastAsia="方正仿宋简体" w:cs="宋体"/>
                <w:color w:val="000000"/>
                <w:kern w:val="0"/>
                <w:sz w:val="18"/>
                <w:szCs w:val="18"/>
              </w:rPr>
            </w:pPr>
            <w:r>
              <w:rPr>
                <w:rFonts w:hint="eastAsia" w:ascii="Times New Roman" w:hAnsi="Times New Roman" w:eastAsia="方正仿宋简体" w:cs="宋体"/>
                <w:color w:val="000000"/>
                <w:kern w:val="0"/>
                <w:sz w:val="18"/>
                <w:szCs w:val="18"/>
              </w:rPr>
              <w:t>确保全市环保垂直管理制度改革工作顺利实施</w:t>
            </w:r>
          </w:p>
        </w:tc>
        <w:tc>
          <w:tcPr>
            <w:tcW w:w="2937" w:type="dxa"/>
            <w:noWrap w:val="0"/>
            <w:vAlign w:val="center"/>
          </w:tcPr>
          <w:p>
            <w:pPr>
              <w:widowControl/>
              <w:spacing w:line="240" w:lineRule="exact"/>
              <w:rPr>
                <w:rFonts w:ascii="Times New Roman" w:hAnsi="Times New Roman" w:eastAsia="方正仿宋简体" w:cs="宋体"/>
                <w:color w:val="000000"/>
                <w:sz w:val="24"/>
                <w:szCs w:val="24"/>
              </w:rPr>
            </w:pPr>
            <w:r>
              <w:rPr>
                <w:rFonts w:hint="eastAsia" w:ascii="Times New Roman" w:hAnsi="Times New Roman" w:eastAsia="方正仿宋简体"/>
                <w:color w:val="000000"/>
              </w:rPr>
              <w:t>确保全市环保垂直管理制度改革</w:t>
            </w:r>
            <w:r>
              <w:rPr>
                <w:rFonts w:hint="eastAsia" w:ascii="Times New Roman" w:hAnsi="Times New Roman" w:eastAsia="方正仿宋简体" w:cs="宋体"/>
                <w:color w:val="000000"/>
                <w:kern w:val="0"/>
                <w:sz w:val="18"/>
                <w:szCs w:val="18"/>
              </w:rPr>
              <w:t>工作</w:t>
            </w:r>
            <w:r>
              <w:rPr>
                <w:rFonts w:hint="eastAsia" w:ascii="Times New Roman" w:hAnsi="Times New Roman" w:eastAsia="方正仿宋简体"/>
                <w:color w:val="000000"/>
              </w:rPr>
              <w:t>顺利实施</w:t>
            </w:r>
          </w:p>
        </w:tc>
        <w:tc>
          <w:tcPr>
            <w:tcW w:w="750" w:type="dxa"/>
            <w:noWrap w:val="0"/>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90%</w:t>
            </w:r>
          </w:p>
        </w:tc>
        <w:tc>
          <w:tcPr>
            <w:tcW w:w="690" w:type="dxa"/>
            <w:noWrap w:val="0"/>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80%</w:t>
            </w:r>
          </w:p>
        </w:tc>
        <w:tc>
          <w:tcPr>
            <w:tcW w:w="705" w:type="dxa"/>
            <w:noWrap w:val="0"/>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70%</w:t>
            </w:r>
          </w:p>
        </w:tc>
        <w:tc>
          <w:tcPr>
            <w:tcW w:w="693" w:type="dxa"/>
            <w:noWrap w:val="0"/>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2" w:type="dxa"/>
          <w:cantSplit/>
          <w:trHeight w:val="1452" w:hRule="atLeast"/>
        </w:trPr>
        <w:tc>
          <w:tcPr>
            <w:tcW w:w="1702" w:type="dxa"/>
            <w:vMerge w:val="continue"/>
            <w:noWrap w:val="0"/>
            <w:vAlign w:val="center"/>
          </w:tcPr>
          <w:p>
            <w:pPr>
              <w:widowControl/>
              <w:jc w:val="center"/>
              <w:rPr>
                <w:rFonts w:ascii="Times New Roman" w:hAnsi="Times New Roman" w:eastAsia="方正仿宋简体" w:cs="宋体"/>
                <w:color w:val="000000"/>
                <w:kern w:val="0"/>
              </w:rPr>
            </w:pPr>
          </w:p>
        </w:tc>
        <w:tc>
          <w:tcPr>
            <w:tcW w:w="968" w:type="dxa"/>
            <w:vMerge w:val="continue"/>
            <w:noWrap w:val="0"/>
            <w:vAlign w:val="center"/>
          </w:tcPr>
          <w:p>
            <w:pPr>
              <w:widowControl/>
              <w:jc w:val="right"/>
              <w:rPr>
                <w:rFonts w:ascii="Times New Roman" w:hAnsi="Times New Roman" w:eastAsia="方正仿宋简体" w:cs="宋体"/>
                <w:color w:val="000000"/>
                <w:kern w:val="0"/>
              </w:rPr>
            </w:pPr>
          </w:p>
        </w:tc>
        <w:tc>
          <w:tcPr>
            <w:tcW w:w="3075" w:type="dxa"/>
            <w:vMerge w:val="continue"/>
            <w:noWrap w:val="0"/>
            <w:vAlign w:val="center"/>
          </w:tcPr>
          <w:p>
            <w:pPr>
              <w:widowControl/>
              <w:rPr>
                <w:rFonts w:ascii="Times New Roman" w:hAnsi="Times New Roman" w:eastAsia="方正仿宋简体" w:cs="宋体"/>
                <w:color w:val="000000"/>
                <w:kern w:val="0"/>
              </w:rPr>
            </w:pPr>
          </w:p>
        </w:tc>
        <w:tc>
          <w:tcPr>
            <w:tcW w:w="2973" w:type="dxa"/>
            <w:noWrap w:val="0"/>
            <w:vAlign w:val="center"/>
          </w:tcPr>
          <w:p>
            <w:pPr>
              <w:widowControl/>
              <w:spacing w:line="240" w:lineRule="exact"/>
              <w:rPr>
                <w:rFonts w:hint="eastAsia" w:ascii="Times New Roman" w:hAnsi="Times New Roman" w:eastAsia="方正仿宋简体" w:cs="宋体"/>
                <w:color w:val="000000"/>
                <w:kern w:val="0"/>
                <w:sz w:val="18"/>
                <w:szCs w:val="18"/>
              </w:rPr>
            </w:pPr>
            <w:r>
              <w:rPr>
                <w:rFonts w:hint="eastAsia" w:ascii="Times New Roman" w:hAnsi="Times New Roman" w:eastAsia="方正仿宋简体" w:cs="宋体"/>
                <w:color w:val="000000"/>
                <w:kern w:val="0"/>
                <w:sz w:val="18"/>
                <w:szCs w:val="18"/>
              </w:rPr>
              <w:t>人民群众满意</w:t>
            </w:r>
          </w:p>
        </w:tc>
        <w:tc>
          <w:tcPr>
            <w:tcW w:w="2937" w:type="dxa"/>
            <w:noWrap w:val="0"/>
            <w:vAlign w:val="center"/>
          </w:tcPr>
          <w:p>
            <w:pPr>
              <w:widowControl/>
              <w:spacing w:line="240" w:lineRule="exact"/>
              <w:rPr>
                <w:rFonts w:ascii="Times New Roman" w:hAnsi="Times New Roman" w:eastAsia="方正仿宋简体" w:cs="宋体"/>
                <w:color w:val="000000"/>
                <w:sz w:val="24"/>
                <w:szCs w:val="24"/>
              </w:rPr>
            </w:pPr>
            <w:r>
              <w:rPr>
                <w:rFonts w:hint="eastAsia" w:ascii="Times New Roman" w:hAnsi="Times New Roman" w:eastAsia="方正仿宋简体"/>
                <w:color w:val="000000"/>
              </w:rPr>
              <w:t>人民</w:t>
            </w:r>
            <w:r>
              <w:rPr>
                <w:rFonts w:hint="eastAsia" w:ascii="Times New Roman" w:hAnsi="Times New Roman" w:eastAsia="方正仿宋简体" w:cs="宋体"/>
                <w:color w:val="000000"/>
                <w:kern w:val="0"/>
                <w:sz w:val="18"/>
                <w:szCs w:val="18"/>
              </w:rPr>
              <w:t>群众</w:t>
            </w:r>
            <w:r>
              <w:rPr>
                <w:rFonts w:hint="eastAsia" w:ascii="Times New Roman" w:hAnsi="Times New Roman" w:eastAsia="方正仿宋简体"/>
                <w:color w:val="000000"/>
              </w:rPr>
              <w:t>满意</w:t>
            </w:r>
          </w:p>
        </w:tc>
        <w:tc>
          <w:tcPr>
            <w:tcW w:w="750" w:type="dxa"/>
            <w:noWrap w:val="0"/>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90%</w:t>
            </w:r>
          </w:p>
        </w:tc>
        <w:tc>
          <w:tcPr>
            <w:tcW w:w="690" w:type="dxa"/>
            <w:noWrap w:val="0"/>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80%</w:t>
            </w:r>
          </w:p>
        </w:tc>
        <w:tc>
          <w:tcPr>
            <w:tcW w:w="705" w:type="dxa"/>
            <w:noWrap w:val="0"/>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70%</w:t>
            </w:r>
          </w:p>
        </w:tc>
        <w:tc>
          <w:tcPr>
            <w:tcW w:w="693" w:type="dxa"/>
            <w:noWrap w:val="0"/>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2" w:type="dxa"/>
          <w:cantSplit/>
          <w:trHeight w:val="2033" w:hRule="atLeast"/>
        </w:trPr>
        <w:tc>
          <w:tcPr>
            <w:tcW w:w="1702" w:type="dxa"/>
            <w:vMerge w:val="restart"/>
            <w:noWrap w:val="0"/>
            <w:vAlign w:val="center"/>
          </w:tcPr>
          <w:p>
            <w:pPr>
              <w:jc w:val="center"/>
              <w:rPr>
                <w:rFonts w:hint="eastAsia" w:ascii="Times New Roman" w:hAnsi="Times New Roman" w:eastAsia="方正仿宋简体" w:cs="宋体"/>
                <w:color w:val="000000"/>
                <w:kern w:val="0"/>
              </w:rPr>
            </w:pPr>
            <w:r>
              <w:rPr>
                <w:rFonts w:hint="eastAsia" w:ascii="Times New Roman" w:hAnsi="Times New Roman" w:eastAsia="方正仿宋简体" w:cs="宋体"/>
                <w:color w:val="000000"/>
                <w:kern w:val="0"/>
              </w:rPr>
              <w:t>监控中心</w:t>
            </w:r>
          </w:p>
          <w:p>
            <w:pPr>
              <w:jc w:val="center"/>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环境监测与监察</w:t>
            </w:r>
          </w:p>
        </w:tc>
        <w:tc>
          <w:tcPr>
            <w:tcW w:w="968" w:type="dxa"/>
            <w:vMerge w:val="restart"/>
            <w:noWrap w:val="0"/>
            <w:vAlign w:val="center"/>
          </w:tcPr>
          <w:p>
            <w:pPr>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723.00</w:t>
            </w:r>
          </w:p>
        </w:tc>
        <w:tc>
          <w:tcPr>
            <w:tcW w:w="3075" w:type="dxa"/>
            <w:vMerge w:val="restart"/>
            <w:noWrap w:val="0"/>
            <w:vAlign w:val="center"/>
          </w:tcPr>
          <w:p>
            <w:pPr>
              <w:widowControl/>
              <w:spacing w:line="240" w:lineRule="exac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开展环境要素的监测与综合分析评价，提高环境监测和预警能力，提高自动站的建设、管理，加大辐射环境质量监测、核应急监测，加大环境监管执法力度，完善环境基本公共服务体系建设。组织和实施全市各项环境要素的监测与调查、预报预警、统计分析及评价。开展污染源监督监测、污染事故应急监测、污染纠纷监测，保障环境质量自动</w:t>
            </w:r>
            <w:r>
              <w:rPr>
                <w:rFonts w:hint="eastAsia" w:ascii="Times New Roman" w:hAnsi="Times New Roman" w:eastAsia="方正仿宋简体" w:cs="宋体"/>
                <w:color w:val="000000"/>
                <w:kern w:val="0"/>
                <w:sz w:val="18"/>
                <w:szCs w:val="18"/>
              </w:rPr>
              <w:t>监测站</w:t>
            </w:r>
            <w:r>
              <w:rPr>
                <w:rFonts w:hint="eastAsia" w:ascii="Times New Roman" w:hAnsi="Times New Roman" w:eastAsia="方正仿宋简体" w:cs="宋体"/>
                <w:color w:val="000000"/>
                <w:kern w:val="0"/>
              </w:rPr>
              <w:t>（网）正常运行，进行环境信息系统建设，为环境管理提供技术支持。</w:t>
            </w:r>
          </w:p>
        </w:tc>
        <w:tc>
          <w:tcPr>
            <w:tcW w:w="2973" w:type="dxa"/>
            <w:noWrap w:val="0"/>
            <w:vAlign w:val="center"/>
          </w:tcPr>
          <w:p>
            <w:pPr>
              <w:widowControl/>
              <w:spacing w:line="240" w:lineRule="exact"/>
              <w:rPr>
                <w:rFonts w:hint="eastAsia" w:ascii="Times New Roman" w:hAnsi="Times New Roman" w:eastAsia="方正仿宋简体" w:cs="宋体"/>
                <w:color w:val="000000"/>
                <w:kern w:val="0"/>
              </w:rPr>
            </w:pPr>
            <w:r>
              <w:rPr>
                <w:rFonts w:hint="eastAsia" w:ascii="Times New Roman" w:hAnsi="Times New Roman" w:eastAsia="方正仿宋简体" w:cs="宋体"/>
                <w:color w:val="000000"/>
                <w:kern w:val="0"/>
              </w:rPr>
              <w:t>更好的监控我市环境质量、掌握每家企业的污染指数，省控、国控点等污染点环境质量，找出存在的问题，有针对性的提出整改要求和</w:t>
            </w:r>
            <w:r>
              <w:rPr>
                <w:rFonts w:hint="eastAsia" w:ascii="Times New Roman" w:hAnsi="Times New Roman" w:eastAsia="方正仿宋简体" w:cs="宋体"/>
                <w:color w:val="000000"/>
                <w:kern w:val="0"/>
                <w:sz w:val="18"/>
                <w:szCs w:val="18"/>
              </w:rPr>
              <w:t>建议</w:t>
            </w:r>
            <w:r>
              <w:rPr>
                <w:rFonts w:hint="eastAsia" w:ascii="Times New Roman" w:hAnsi="Times New Roman" w:eastAsia="方正仿宋简体" w:cs="宋体"/>
                <w:color w:val="000000"/>
                <w:kern w:val="0"/>
              </w:rPr>
              <w:t>。</w:t>
            </w:r>
          </w:p>
        </w:tc>
        <w:tc>
          <w:tcPr>
            <w:tcW w:w="2937" w:type="dxa"/>
            <w:noWrap w:val="0"/>
            <w:vAlign w:val="center"/>
          </w:tcPr>
          <w:p>
            <w:pPr>
              <w:widowControl/>
              <w:spacing w:line="240" w:lineRule="exac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sz w:val="18"/>
                <w:szCs w:val="18"/>
              </w:rPr>
              <w:t>减少企业污染物排放；加强我市省控、国控点等污染点环境监控能力，逐步改善我市环境质量；通过相关平台服务对污染企业情况进行航测，第一时间内真实、有效的获取相关数据成果；按照年度计划安排，对每一个监测点的数据进行有效分析。</w:t>
            </w:r>
          </w:p>
        </w:tc>
        <w:tc>
          <w:tcPr>
            <w:tcW w:w="750" w:type="dxa"/>
            <w:noWrap w:val="0"/>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100%</w:t>
            </w:r>
          </w:p>
        </w:tc>
        <w:tc>
          <w:tcPr>
            <w:tcW w:w="690" w:type="dxa"/>
            <w:noWrap w:val="0"/>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80%</w:t>
            </w:r>
          </w:p>
        </w:tc>
        <w:tc>
          <w:tcPr>
            <w:tcW w:w="705" w:type="dxa"/>
            <w:noWrap w:val="0"/>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70%</w:t>
            </w:r>
          </w:p>
        </w:tc>
        <w:tc>
          <w:tcPr>
            <w:tcW w:w="693" w:type="dxa"/>
            <w:noWrap w:val="0"/>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2" w:type="dxa"/>
          <w:cantSplit/>
          <w:trHeight w:val="2093" w:hRule="atLeast"/>
        </w:trPr>
        <w:tc>
          <w:tcPr>
            <w:tcW w:w="1702" w:type="dxa"/>
            <w:vMerge w:val="continue"/>
            <w:noWrap w:val="0"/>
            <w:vAlign w:val="center"/>
          </w:tcPr>
          <w:p>
            <w:pPr>
              <w:widowControl/>
              <w:jc w:val="center"/>
              <w:rPr>
                <w:rFonts w:ascii="Times New Roman" w:hAnsi="Times New Roman" w:eastAsia="方正仿宋简体" w:cs="宋体"/>
                <w:color w:val="000000"/>
                <w:kern w:val="0"/>
              </w:rPr>
            </w:pPr>
          </w:p>
        </w:tc>
        <w:tc>
          <w:tcPr>
            <w:tcW w:w="968" w:type="dxa"/>
            <w:vMerge w:val="continue"/>
            <w:noWrap w:val="0"/>
            <w:vAlign w:val="center"/>
          </w:tcPr>
          <w:p>
            <w:pPr>
              <w:widowControl/>
              <w:jc w:val="right"/>
              <w:rPr>
                <w:rFonts w:ascii="Times New Roman" w:hAnsi="Times New Roman" w:eastAsia="方正仿宋简体" w:cs="宋体"/>
                <w:color w:val="000000"/>
                <w:kern w:val="0"/>
              </w:rPr>
            </w:pPr>
          </w:p>
        </w:tc>
        <w:tc>
          <w:tcPr>
            <w:tcW w:w="3075" w:type="dxa"/>
            <w:vMerge w:val="continue"/>
            <w:noWrap w:val="0"/>
            <w:vAlign w:val="center"/>
          </w:tcPr>
          <w:p>
            <w:pPr>
              <w:widowControl/>
              <w:rPr>
                <w:rFonts w:ascii="Times New Roman" w:hAnsi="Times New Roman" w:eastAsia="方正仿宋简体" w:cs="宋体"/>
                <w:color w:val="000000"/>
                <w:kern w:val="0"/>
              </w:rPr>
            </w:pPr>
          </w:p>
        </w:tc>
        <w:tc>
          <w:tcPr>
            <w:tcW w:w="2973" w:type="dxa"/>
            <w:noWrap w:val="0"/>
            <w:vAlign w:val="center"/>
          </w:tcPr>
          <w:p>
            <w:pPr>
              <w:widowControl/>
              <w:spacing w:line="240" w:lineRule="exac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sz w:val="18"/>
                <w:szCs w:val="18"/>
              </w:rPr>
              <w:t>建立全覆盖管理体系，落实执法责任；规范执法行为；形成一体化平台，提高办公执法效率，提供精准决策依据。从而为我市环境质量改善提供有力保障，应对我市重污染天气，有效降低空气污染程度，保障人民群众身体健康和社会稳定。</w:t>
            </w:r>
          </w:p>
        </w:tc>
        <w:tc>
          <w:tcPr>
            <w:tcW w:w="2937" w:type="dxa"/>
            <w:noWrap w:val="0"/>
            <w:vAlign w:val="center"/>
          </w:tcPr>
          <w:p>
            <w:pPr>
              <w:widowControl/>
              <w:spacing w:line="240" w:lineRule="exact"/>
              <w:rPr>
                <w:rFonts w:hint="eastAsia" w:ascii="Times New Roman" w:hAnsi="Times New Roman" w:eastAsia="方正仿宋简体" w:cs="宋体"/>
                <w:color w:val="000000"/>
                <w:kern w:val="0"/>
                <w:sz w:val="18"/>
                <w:szCs w:val="18"/>
              </w:rPr>
            </w:pPr>
            <w:r>
              <w:rPr>
                <w:rFonts w:hint="eastAsia" w:ascii="Times New Roman" w:hAnsi="Times New Roman" w:eastAsia="方正仿宋简体" w:cs="宋体"/>
                <w:color w:val="000000"/>
                <w:kern w:val="0"/>
                <w:sz w:val="18"/>
                <w:szCs w:val="18"/>
              </w:rPr>
              <w:t>依托市环保局监控中心监控平台，按照年度计划安排，对安装了污染源远程执法系统的涉污企业进行随机抽查。</w:t>
            </w:r>
          </w:p>
        </w:tc>
        <w:tc>
          <w:tcPr>
            <w:tcW w:w="750" w:type="dxa"/>
            <w:noWrap w:val="0"/>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100%</w:t>
            </w:r>
          </w:p>
        </w:tc>
        <w:tc>
          <w:tcPr>
            <w:tcW w:w="690" w:type="dxa"/>
            <w:noWrap w:val="0"/>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80%</w:t>
            </w:r>
          </w:p>
        </w:tc>
        <w:tc>
          <w:tcPr>
            <w:tcW w:w="705" w:type="dxa"/>
            <w:noWrap w:val="0"/>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70%</w:t>
            </w:r>
          </w:p>
        </w:tc>
        <w:tc>
          <w:tcPr>
            <w:tcW w:w="693" w:type="dxa"/>
            <w:noWrap w:val="0"/>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2" w:type="dxa"/>
          <w:cantSplit/>
          <w:trHeight w:val="1159" w:hRule="atLeast"/>
        </w:trPr>
        <w:tc>
          <w:tcPr>
            <w:tcW w:w="1702" w:type="dxa"/>
            <w:vMerge w:val="continue"/>
            <w:noWrap w:val="0"/>
            <w:vAlign w:val="center"/>
          </w:tcPr>
          <w:p>
            <w:pPr>
              <w:widowControl/>
              <w:jc w:val="center"/>
              <w:rPr>
                <w:rFonts w:hint="eastAsia" w:ascii="Times New Roman" w:hAnsi="Times New Roman" w:eastAsia="方正仿宋简体" w:cs="宋体"/>
                <w:color w:val="000000"/>
                <w:kern w:val="0"/>
              </w:rPr>
            </w:pPr>
          </w:p>
        </w:tc>
        <w:tc>
          <w:tcPr>
            <w:tcW w:w="968" w:type="dxa"/>
            <w:vMerge w:val="continue"/>
            <w:noWrap w:val="0"/>
            <w:vAlign w:val="center"/>
          </w:tcPr>
          <w:p>
            <w:pPr>
              <w:widowControl/>
              <w:jc w:val="right"/>
              <w:rPr>
                <w:rFonts w:ascii="Times New Roman" w:hAnsi="Times New Roman" w:eastAsia="方正仿宋简体" w:cs="宋体"/>
                <w:color w:val="000000"/>
                <w:kern w:val="0"/>
              </w:rPr>
            </w:pPr>
          </w:p>
        </w:tc>
        <w:tc>
          <w:tcPr>
            <w:tcW w:w="3075" w:type="dxa"/>
            <w:vMerge w:val="continue"/>
            <w:noWrap w:val="0"/>
            <w:vAlign w:val="center"/>
          </w:tcPr>
          <w:p>
            <w:pPr>
              <w:widowControl/>
              <w:rPr>
                <w:rFonts w:hint="eastAsia" w:ascii="Times New Roman" w:hAnsi="Times New Roman" w:eastAsia="方正仿宋简体" w:cs="宋体"/>
                <w:color w:val="000000"/>
                <w:kern w:val="0"/>
              </w:rPr>
            </w:pPr>
          </w:p>
        </w:tc>
        <w:tc>
          <w:tcPr>
            <w:tcW w:w="2973" w:type="dxa"/>
            <w:noWrap w:val="0"/>
            <w:vAlign w:val="center"/>
          </w:tcPr>
          <w:p>
            <w:pPr>
              <w:widowControl/>
              <w:spacing w:line="240" w:lineRule="exact"/>
              <w:rPr>
                <w:rFonts w:hint="eastAsia" w:ascii="Times New Roman" w:hAnsi="Times New Roman" w:eastAsia="方正仿宋简体" w:cs="宋体"/>
                <w:color w:val="000000"/>
                <w:kern w:val="0"/>
                <w:sz w:val="18"/>
                <w:szCs w:val="18"/>
              </w:rPr>
            </w:pPr>
            <w:r>
              <w:rPr>
                <w:rFonts w:hint="eastAsia" w:ascii="Times New Roman" w:hAnsi="Times New Roman" w:eastAsia="方正仿宋简体" w:cs="宋体"/>
                <w:color w:val="000000"/>
                <w:kern w:val="0"/>
                <w:sz w:val="18"/>
                <w:szCs w:val="18"/>
              </w:rPr>
              <w:t>改善全市环境质量</w:t>
            </w:r>
          </w:p>
        </w:tc>
        <w:tc>
          <w:tcPr>
            <w:tcW w:w="2937" w:type="dxa"/>
            <w:noWrap w:val="0"/>
            <w:vAlign w:val="center"/>
          </w:tcPr>
          <w:p>
            <w:pPr>
              <w:widowControl/>
              <w:spacing w:line="240" w:lineRule="exact"/>
              <w:rPr>
                <w:rFonts w:hint="eastAsia" w:ascii="Times New Roman" w:hAnsi="Times New Roman" w:eastAsia="方正仿宋简体" w:cs="宋体"/>
                <w:color w:val="000000"/>
                <w:kern w:val="0"/>
                <w:sz w:val="18"/>
                <w:szCs w:val="18"/>
              </w:rPr>
            </w:pPr>
            <w:r>
              <w:rPr>
                <w:rFonts w:hint="eastAsia" w:ascii="Times New Roman" w:hAnsi="Times New Roman" w:eastAsia="方正仿宋简体" w:cs="宋体"/>
                <w:color w:val="000000"/>
                <w:kern w:val="0"/>
                <w:sz w:val="18"/>
                <w:szCs w:val="18"/>
              </w:rPr>
              <w:t>人民群众满意</w:t>
            </w:r>
          </w:p>
        </w:tc>
        <w:tc>
          <w:tcPr>
            <w:tcW w:w="750" w:type="dxa"/>
            <w:noWrap w:val="0"/>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100%</w:t>
            </w:r>
          </w:p>
        </w:tc>
        <w:tc>
          <w:tcPr>
            <w:tcW w:w="690" w:type="dxa"/>
            <w:noWrap w:val="0"/>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80%</w:t>
            </w:r>
          </w:p>
        </w:tc>
        <w:tc>
          <w:tcPr>
            <w:tcW w:w="705" w:type="dxa"/>
            <w:noWrap w:val="0"/>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70%</w:t>
            </w:r>
          </w:p>
        </w:tc>
        <w:tc>
          <w:tcPr>
            <w:tcW w:w="693" w:type="dxa"/>
            <w:noWrap w:val="0"/>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60%</w:t>
            </w:r>
          </w:p>
        </w:tc>
      </w:tr>
    </w:tbl>
    <w:p>
      <w:pPr>
        <w:adjustRightInd w:val="0"/>
        <w:snapToGrid w:val="0"/>
        <w:spacing w:after="0" w:line="600" w:lineRule="exact"/>
        <w:rPr>
          <w:rFonts w:ascii="仿宋" w:hAnsi="仿宋" w:eastAsia="仿宋" w:cs="仿宋"/>
          <w:sz w:val="30"/>
          <w:szCs w:val="30"/>
        </w:rPr>
      </w:pPr>
    </w:p>
    <w:p>
      <w:pPr>
        <w:spacing w:after="0" w:line="560" w:lineRule="exact"/>
        <w:ind w:firstLine="643" w:firstLineChars="200"/>
        <w:rPr>
          <w:rFonts w:ascii="楷体" w:hAnsi="楷体" w:eastAsia="楷体" w:cs="楷体"/>
          <w:b/>
          <w:bCs/>
          <w:sz w:val="32"/>
          <w:szCs w:val="32"/>
        </w:rPr>
      </w:pPr>
      <w:r>
        <w:rPr>
          <w:rFonts w:hint="eastAsia"/>
          <w:b/>
          <w:bCs/>
          <w:sz w:val="32"/>
          <w:szCs w:val="32"/>
        </w:rPr>
        <w:t>总体绩效目标</w:t>
      </w:r>
      <w:r>
        <w:rPr>
          <w:rFonts w:hint="eastAsia" w:ascii="楷体" w:hAnsi="楷体" w:eastAsia="楷体" w:cs="楷体"/>
          <w:b/>
          <w:bCs/>
          <w:sz w:val="32"/>
          <w:szCs w:val="32"/>
        </w:rPr>
        <w:t>——目标任务完成情况</w:t>
      </w:r>
    </w:p>
    <w:p>
      <w:pPr>
        <w:pStyle w:val="33"/>
        <w:spacing w:beforeAutospacing="0" w:afterAutospacing="0" w:line="560" w:lineRule="exact"/>
        <w:ind w:firstLine="643" w:firstLineChars="200"/>
        <w:rPr>
          <w:rFonts w:ascii="仿宋" w:hAnsi="仿宋" w:eastAsia="仿宋" w:cs="仿宋"/>
          <w:sz w:val="32"/>
          <w:szCs w:val="32"/>
        </w:rPr>
      </w:pPr>
      <w:r>
        <w:rPr>
          <w:rFonts w:hint="eastAsia" w:ascii="仿宋_GB2312" w:hAnsi="仿宋_GB2312" w:eastAsia="仿宋_GB2312" w:cs="仿宋_GB2312"/>
          <w:b/>
          <w:bCs/>
          <w:sz w:val="32"/>
          <w:szCs w:val="32"/>
        </w:rPr>
        <w:t>大气环境质量：</w:t>
      </w:r>
      <w:r>
        <w:rPr>
          <w:rFonts w:hint="eastAsia" w:ascii="仿宋" w:hAnsi="仿宋" w:eastAsia="仿宋" w:cs="仿宋"/>
          <w:sz w:val="32"/>
          <w:szCs w:val="32"/>
        </w:rPr>
        <w:t>2018年我市标况综合指数为7.30，169城市排名倒数第四，其中PM2.5浓度为59.98微克/立方米，同比下降9.1%；PM10浓度为109.91微克/立方米，同比下降7.6%；SO2浓度为34.12微克/立方米，同比下降15%；NO2浓度为56.34微克/立方米，同比下降5.1%；CO浓度为3.285毫克/立方米，同比下降13.2%；O3浓度为197微克/立方米,同比下降3.9%。优天17天，同比增加11天，良天185天，</w:t>
      </w:r>
      <w:r>
        <w:rPr>
          <w:rFonts w:hint="eastAsia" w:ascii="仿宋_GB2312" w:hAnsi="Times New Roman" w:eastAsia="仿宋_GB2312" w:cs="DengXian-Regular"/>
          <w:kern w:val="2"/>
          <w:sz w:val="32"/>
          <w:szCs w:val="32"/>
          <w:lang w:val="en-US" w:eastAsia="zh-CN" w:bidi="ar-SA"/>
        </w:rPr>
        <w:t>同比</w:t>
      </w:r>
      <w:r>
        <w:rPr>
          <w:rFonts w:hint="eastAsia" w:ascii="仿宋" w:hAnsi="仿宋" w:eastAsia="仿宋" w:cs="仿宋"/>
          <w:sz w:val="32"/>
          <w:szCs w:val="32"/>
        </w:rPr>
        <w:t>减少14天，优良天比例57.71%；重度以上污染13天，同比减少17天。启动应急响应12次，应急减排措施13次，共计4736小时，应对重污染天气25轮，规避21轮，有效缓解了我市重污染过程，降低了大气污染物浓度。在2018年度全省大气污染综合治理考核中，我市被评为优秀，省大气污染防治工作领导小组</w:t>
      </w:r>
      <w:r>
        <w:rPr>
          <w:rFonts w:ascii="仿宋" w:hAnsi="仿宋" w:eastAsia="仿宋" w:cs="仿宋"/>
          <w:sz w:val="32"/>
          <w:szCs w:val="32"/>
          <w:lang w:val="zh-CN"/>
        </w:rPr>
        <mc:AlternateContent>
          <mc:Choice Requires="wpg">
            <w:drawing>
              <wp:anchor distT="0" distB="0" distL="114300" distR="114300" simplePos="0" relativeHeight="251676672" behindDoc="0" locked="1" layoutInCell="1" allowOverlap="1">
                <wp:simplePos x="0" y="0"/>
                <wp:positionH relativeFrom="page">
                  <wp:posOffset>3810</wp:posOffset>
                </wp:positionH>
                <wp:positionV relativeFrom="page">
                  <wp:posOffset>286385</wp:posOffset>
                </wp:positionV>
                <wp:extent cx="3833495" cy="558165"/>
                <wp:effectExtent l="3810" t="635" r="1270" b="12700"/>
                <wp:wrapNone/>
                <wp:docPr id="25" name="Group 128"/>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26" name="1074"/>
                        <wps:cNvSpPr>
                          <a:spLocks noChangeArrowheads="1"/>
                        </wps:cNvSpPr>
                        <wps:spPr bwMode="auto">
                          <a:xfrm>
                            <a:off x="4551" y="52615"/>
                            <a:ext cx="8546" cy="1175"/>
                          </a:xfrm>
                          <a:prstGeom prst="rect">
                            <a:avLst/>
                          </a:prstGeom>
                          <a:solidFill>
                            <a:srgbClr val="D8D8D8"/>
                          </a:solidFill>
                          <a:ln>
                            <a:noFill/>
                          </a:ln>
                        </wps:spPr>
                        <wps:bodyPr rot="0" vert="horz" wrap="square" lIns="91440" tIns="45720" rIns="91440" bIns="45720" anchor="t" anchorCtr="0" upright="1">
                          <a:noAutofit/>
                        </wps:bodyPr>
                      </wps:wsp>
                      <wps:wsp>
                        <wps:cNvPr id="27" name="1075"/>
                        <wps:cNvSpPr>
                          <a:spLocks noChangeArrowheads="1"/>
                        </wps:cNvSpPr>
                        <wps:spPr bwMode="auto">
                          <a:xfrm>
                            <a:off x="4577" y="52890"/>
                            <a:ext cx="8324" cy="1123"/>
                          </a:xfrm>
                          <a:prstGeom prst="rect">
                            <a:avLst/>
                          </a:prstGeom>
                          <a:solidFill>
                            <a:srgbClr val="AD002D"/>
                          </a:solidFill>
                          <a:ln w="25400">
                            <a:solidFill>
                              <a:srgbClr val="AF7621"/>
                            </a:solidFill>
                            <a:miter lim="800000"/>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wps:txbx>
                        <wps:bodyPr rot="0" vert="horz" wrap="square" lIns="91440" tIns="45720" rIns="91440" bIns="45720" anchor="ctr" anchorCtr="0" upright="1">
                          <a:noAutofit/>
                        </wps:bodyPr>
                      </wps:wsp>
                    </wpg:wgp>
                  </a:graphicData>
                </a:graphic>
              </wp:anchor>
            </w:drawing>
          </mc:Choice>
          <mc:Fallback>
            <w:pict>
              <v:group id="Group 128" o:spid="_x0000_s1026" o:spt="203" style="position:absolute;left:0pt;margin-left:0.3pt;margin-top:22.55pt;height:43.95pt;width:301.85pt;mso-position-horizontal-relative:page;mso-position-vertical-relative:page;z-index:251676672;mso-width-relative:page;mso-height-relative:page;" coordorigin="4551,52615" coordsize="8546,1398" o:gfxdata="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C3GfvD1gAAAAcBAAAPAAAAAAAAAAEAIAAAACIAAABkcnMvZG93bnJldi54&#10;bWxQSwECFAAUAAAACACHTuJA4DMsPeACAAD2BwAADgAAAAAAAAABACAAAAAlAQAAZHJzL2Uyb0Rv&#10;Yy54bWxQSwUGAAAAAAYABgBZAQAAdwYAAAAA&#10;">
                <o:lock v:ext="edit" aspectratio="f"/>
                <v:rect id="1074" o:spid="_x0000_s1026" o:spt="1" style="position:absolute;left:4551;top:52615;height:1175;width:8546;" fillcolor="#D8D8D8" filled="t" stroked="f" coordsize="21600,21600" o:gfxdata="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bkmhugAAANsA&#10;AAAPAAAAAAAAAAEAIAAAACIAAABkcnMvZG93bnJldi54bWxQSwECFAAUAAAACACHTuJAMy8FnjsA&#10;AAA5AAAAEAAAAAAAAAABACAAAAAJAQAAZHJzL3NoYXBleG1sLnhtbFBLBQYAAAAABgAGAFsBAACz&#10;AwAAAAA=&#10;">
                  <v:fill on="t" focussize="0,0"/>
                  <v:stroke on="f"/>
                  <v:imagedata o:title=""/>
                  <o:lock v:ext="edit" aspectratio="f"/>
                </v:rect>
                <v:rect id="1075" o:spid="_x0000_s1026" o:spt="1" style="position:absolute;left:4577;top:52890;height:1123;width:8324;v-text-anchor:middle;" fillcolor="#AD002D" filled="t" stroked="t" coordsize="21600,21600" o:gfxdata="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jCI0S8AAAA&#10;2wAAAA8AAAAAAAAAAQAgAAAAIgAAAGRycy9kb3ducmV2LnhtbFBLAQIUABQAAAAIAIdO4kAzLwWe&#10;OwAAADkAAAAQAAAAAAAAAAEAIAAAAAsBAABkcnMvc2hhcGV4bWwueG1sUEsFBgAAAAAGAAYAWwEA&#10;ALUDAAAAAA==&#10;">
                  <v:fill on="t" focussize="0,0"/>
                  <v:stroke weight="2pt" color="#AF7621" miterlimit="8" joinstyle="miter"/>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mc:Fallback>
        </mc:AlternateContent>
      </w:r>
      <w:r>
        <w:rPr>
          <w:rFonts w:hint="eastAsia" w:ascii="仿宋" w:hAnsi="仿宋" w:eastAsia="仿宋" w:cs="仿宋"/>
          <w:sz w:val="32"/>
          <w:szCs w:val="32"/>
        </w:rPr>
        <w:t>授予为2018年大气污染综合治理先进市；我市曹妃甸区、迁安市、丰南区、迁西县、古冶区、路南区、遵化市、滦州市、玉田县、路北区被省大气污染防治工作领导小组授予为2018年大气污染综合治理先进县（市、区）；乐亭县评为良好；滦南县被评为合格。</w:t>
      </w:r>
    </w:p>
    <w:p>
      <w:pPr>
        <w:pStyle w:val="33"/>
        <w:spacing w:beforeAutospacing="0" w:afterAutospacing="0" w:line="570" w:lineRule="exact"/>
        <w:ind w:firstLine="643" w:firstLineChars="200"/>
        <w:rPr>
          <w:rFonts w:hint="eastAsia" w:ascii="仿宋_GB2312" w:hAnsi="Times New Roman" w:eastAsia="仿宋_GB2312" w:cs="DengXian-Regular"/>
          <w:kern w:val="2"/>
          <w:sz w:val="32"/>
          <w:szCs w:val="32"/>
          <w:lang w:val="en-US" w:eastAsia="zh-CN" w:bidi="ar-SA"/>
        </w:rPr>
      </w:pPr>
      <w:r>
        <w:rPr>
          <w:rFonts w:hint="eastAsia" w:ascii="仿宋_GB2312" w:hAnsi="仿宋_GB2312" w:eastAsia="仿宋_GB2312" w:cs="仿宋_GB2312"/>
          <w:b/>
          <w:bCs/>
          <w:sz w:val="32"/>
          <w:szCs w:val="32"/>
        </w:rPr>
        <w:t>水环境质量：</w:t>
      </w:r>
      <w:r>
        <w:rPr>
          <w:rFonts w:hint="eastAsia" w:ascii="仿宋_GB2312" w:hAnsi="Times New Roman" w:eastAsia="仿宋_GB2312" w:cs="DengXian-Regular"/>
          <w:kern w:val="2"/>
          <w:sz w:val="32"/>
          <w:szCs w:val="32"/>
          <w:lang w:val="en-US" w:eastAsia="zh-CN" w:bidi="ar-SA"/>
        </w:rPr>
        <w:t>2018年，纳入国家和省考核的9个水质监测断面中，7个达到Ⅲ类及以上，水质优良比例77.78%；劣Ⅴ类水体控制比例为零；7个城市集中式饮用水源地水质均达到Ⅲ类水质标准；近岸海域5个国控监测点位，全部达到海水Ⅱ类水质标准,水质优良比例100%。全部达到省考核目标要求。在2018年度水污染防治工作考核中，我市水环境质量被评为优秀，位居全省第一位。</w:t>
      </w:r>
    </w:p>
    <w:p>
      <w:pPr>
        <w:pStyle w:val="3"/>
        <w:spacing w:before="0" w:after="0" w:line="580" w:lineRule="exact"/>
        <w:rPr>
          <w:rFonts w:ascii="黑体" w:eastAsia="黑体" w:cs="Times New Roman"/>
          <w:b w:val="0"/>
          <w:bCs w:val="0"/>
        </w:rPr>
      </w:pPr>
      <w:r>
        <w:rPr>
          <w:rFonts w:hint="eastAsia" w:ascii="Times New Roman" w:hAnsi="Times New Roman" w:cs="Times New Roman"/>
          <w:b w:val="0"/>
          <w:bCs w:val="0"/>
          <w:sz w:val="21"/>
          <w:szCs w:val="24"/>
        </w:rPr>
        <w:t xml:space="preserve">    </w:t>
      </w:r>
      <w:r>
        <w:rPr>
          <w:rFonts w:hint="eastAsia" w:ascii="黑体" w:eastAsia="黑体" w:cs="Times New Roman"/>
          <w:b w:val="0"/>
          <w:bCs w:val="0"/>
        </w:rPr>
        <w:t>七、其他重要事项的说明</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（一）机关运行经费情况</w:t>
      </w:r>
    </w:p>
    <w:p>
      <w:pPr>
        <w:snapToGrid w:val="0"/>
        <w:spacing w:line="580" w:lineRule="exact"/>
        <w:ind w:firstLine="640" w:firstLineChars="200"/>
        <w:jc w:val="left"/>
        <w:rPr>
          <w:rFonts w:hint="eastAsia" w:ascii="仿宋_GB2312" w:hAnsi="Times New Roman" w:eastAsia="仿宋_GB2312" w:cs="DengXian-Regular"/>
          <w:kern w:val="2"/>
          <w:sz w:val="32"/>
          <w:szCs w:val="32"/>
          <w:lang w:val="en-US" w:eastAsia="zh-CN" w:bidi="ar-SA"/>
        </w:rPr>
      </w:pPr>
      <w:r>
        <w:rPr>
          <w:rFonts w:hint="eastAsia" w:ascii="仿宋_GB2312" w:hAnsi="Times New Roman" w:eastAsia="仿宋_GB2312" w:cs="DengXian-Regular"/>
          <w:kern w:val="2"/>
          <w:sz w:val="32"/>
          <w:szCs w:val="32"/>
          <w:lang w:val="en-US" w:eastAsia="zh-CN" w:bidi="ar-SA"/>
        </w:rPr>
        <w:t>本部门2018年度机关运行经费支出</w:t>
      </w:r>
      <w:r>
        <w:rPr>
          <w:rFonts w:hint="eastAsia" w:ascii="仿宋_GB2312" w:eastAsia="仿宋_GB2312" w:cs="DengXian-Regular"/>
          <w:kern w:val="2"/>
          <w:sz w:val="32"/>
          <w:szCs w:val="32"/>
          <w:lang w:val="en-US" w:eastAsia="zh-CN" w:bidi="ar-SA"/>
        </w:rPr>
        <w:t>1731.14</w:t>
      </w:r>
      <w:r>
        <w:rPr>
          <w:rFonts w:hint="eastAsia" w:ascii="仿宋_GB2312" w:hAnsi="Times New Roman" w:eastAsia="仿宋_GB2312" w:cs="DengXian-Regular"/>
          <w:kern w:val="2"/>
          <w:sz w:val="32"/>
          <w:szCs w:val="32"/>
          <w:lang w:val="en-US" w:eastAsia="zh-CN" w:bidi="ar-SA"/>
        </w:rPr>
        <w:t>万元，</w:t>
      </w:r>
      <w:r>
        <w:rPr>
          <w:rFonts w:hint="eastAsia" w:ascii="仿宋_GB2312" w:eastAsia="仿宋_GB2312" w:cs="DengXian-Regular"/>
          <w:kern w:val="2"/>
          <w:sz w:val="32"/>
          <w:szCs w:val="32"/>
          <w:lang w:val="en-US" w:eastAsia="zh-CN" w:bidi="ar-SA"/>
        </w:rPr>
        <w:t>较</w:t>
      </w:r>
      <w:r>
        <w:rPr>
          <w:rFonts w:hint="eastAsia" w:ascii="仿宋_GB2312" w:eastAsia="仿宋_GB2312" w:cs="DengXian-Regular"/>
          <w:kern w:val="2"/>
          <w:sz w:val="32"/>
          <w:szCs w:val="32"/>
          <w:highlight w:val="none"/>
          <w:lang w:val="en-US" w:eastAsia="zh-CN" w:bidi="ar-SA"/>
        </w:rPr>
        <w:t>年初预算数减少1135.26</w:t>
      </w:r>
      <w:r>
        <w:rPr>
          <w:rFonts w:hint="eastAsia" w:ascii="仿宋_GB2312" w:hAnsi="Times New Roman" w:eastAsia="仿宋_GB2312" w:cs="DengXian-Regular"/>
          <w:kern w:val="2"/>
          <w:sz w:val="32"/>
          <w:szCs w:val="32"/>
          <w:highlight w:val="none"/>
          <w:lang w:val="en-US" w:eastAsia="zh-CN" w:bidi="ar-SA"/>
        </w:rPr>
        <w:t>万元，</w:t>
      </w:r>
      <w:r>
        <w:rPr>
          <w:rFonts w:hint="eastAsia" w:ascii="仿宋_GB2312" w:eastAsia="仿宋_GB2312" w:cs="DengXian-Regular"/>
          <w:kern w:val="2"/>
          <w:sz w:val="32"/>
          <w:szCs w:val="32"/>
          <w:highlight w:val="none"/>
          <w:lang w:val="en-US" w:eastAsia="zh-CN" w:bidi="ar-SA"/>
        </w:rPr>
        <w:t>降低39.61</w:t>
      </w:r>
      <w:r>
        <w:rPr>
          <w:rFonts w:hint="eastAsia" w:ascii="仿宋_GB2312" w:hAnsi="Times New Roman" w:eastAsia="仿宋_GB2312" w:cs="DengXian-Regular"/>
          <w:kern w:val="2"/>
          <w:sz w:val="32"/>
          <w:szCs w:val="32"/>
          <w:highlight w:val="none"/>
          <w:lang w:val="en-US" w:eastAsia="zh-CN" w:bidi="ar-SA"/>
        </w:rPr>
        <w:t>%。主要原因是</w:t>
      </w:r>
      <w:r>
        <w:rPr>
          <w:rFonts w:hint="eastAsia" w:ascii="仿宋_GB2312" w:eastAsia="仿宋_GB2312" w:cs="DengXian-Regular"/>
          <w:kern w:val="2"/>
          <w:sz w:val="32"/>
          <w:szCs w:val="32"/>
          <w:highlight w:val="none"/>
          <w:lang w:val="en-US" w:eastAsia="zh-CN" w:bidi="ar-SA"/>
        </w:rPr>
        <w:t>严格控制经费的使用</w:t>
      </w:r>
      <w:r>
        <w:rPr>
          <w:rFonts w:hint="eastAsia" w:ascii="仿宋_GB2312" w:hAnsi="Times New Roman" w:eastAsia="仿宋_GB2312" w:cs="DengXian-Regular"/>
          <w:kern w:val="2"/>
          <w:sz w:val="32"/>
          <w:szCs w:val="32"/>
          <w:highlight w:val="none"/>
          <w:lang w:val="en-US" w:eastAsia="zh-CN" w:bidi="ar-SA"/>
        </w:rPr>
        <w:t>。</w:t>
      </w:r>
    </w:p>
    <w:p>
      <w:pPr>
        <w:snapToGrid w:val="0"/>
        <w:spacing w:line="580" w:lineRule="exact"/>
        <w:ind w:firstLine="640" w:firstLineChars="200"/>
        <w:jc w:val="left"/>
        <w:rPr>
          <w:rFonts w:hint="eastAsia" w:ascii="仿宋_GB2312" w:hAnsi="Times New Roman" w:eastAsia="仿宋_GB2312" w:cs="DengXian-Regular"/>
          <w:kern w:val="2"/>
          <w:sz w:val="32"/>
          <w:szCs w:val="32"/>
          <w:lang w:val="en-US" w:eastAsia="zh-CN" w:bidi="ar-SA"/>
        </w:rPr>
      </w:pPr>
      <w:r>
        <w:rPr>
          <w:rFonts w:hint="eastAsia" w:ascii="仿宋_GB2312" w:hAnsi="Times New Roman" w:eastAsia="仿宋_GB2312" w:cs="DengXian-Regular"/>
          <w:kern w:val="2"/>
          <w:sz w:val="32"/>
          <w:szCs w:val="32"/>
          <w:lang w:val="en-US" w:eastAsia="zh-CN" w:bidi="ar-SA"/>
        </w:rPr>
        <w:t>机关运行经费是指部门的公用经费，主要包括办公费、印刷费、</w:t>
      </w:r>
      <w:r>
        <w:rPr>
          <w:rFonts w:hint="eastAsia" w:ascii="仿宋_GB2312" w:hAnsi="Times New Roman" w:eastAsia="仿宋_GB2312" w:cs="DengXian-Regular"/>
          <w:kern w:val="2"/>
          <w:sz w:val="32"/>
          <w:szCs w:val="32"/>
          <w:lang w:val="en-US" w:eastAsia="zh-CN" w:bidi="ar-SA"/>
        </w:rPr>
        <mc:AlternateContent>
          <mc:Choice Requires="wpg">
            <w:drawing>
              <wp:anchor distT="0" distB="0" distL="114300" distR="114300" simplePos="0" relativeHeight="251677696" behindDoc="0" locked="1" layoutInCell="1" allowOverlap="1">
                <wp:simplePos x="0" y="0"/>
                <wp:positionH relativeFrom="page">
                  <wp:posOffset>3810</wp:posOffset>
                </wp:positionH>
                <wp:positionV relativeFrom="page">
                  <wp:posOffset>301625</wp:posOffset>
                </wp:positionV>
                <wp:extent cx="3833495" cy="558165"/>
                <wp:effectExtent l="3810" t="0" r="1270" b="16510"/>
                <wp:wrapNone/>
                <wp:docPr id="21" name="Group 131"/>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22" name="1074"/>
                        <wps:cNvSpPr>
                          <a:spLocks noChangeArrowheads="1"/>
                        </wps:cNvSpPr>
                        <wps:spPr bwMode="auto">
                          <a:xfrm>
                            <a:off x="4551" y="52615"/>
                            <a:ext cx="8546" cy="1175"/>
                          </a:xfrm>
                          <a:prstGeom prst="rect">
                            <a:avLst/>
                          </a:prstGeom>
                          <a:solidFill>
                            <a:srgbClr val="D8D8D8"/>
                          </a:solidFill>
                          <a:ln>
                            <a:noFill/>
                          </a:ln>
                        </wps:spPr>
                        <wps:bodyPr rot="0" vert="horz" wrap="square" lIns="91440" tIns="45720" rIns="91440" bIns="45720" anchor="t" anchorCtr="0" upright="1">
                          <a:noAutofit/>
                        </wps:bodyPr>
                      </wps:wsp>
                      <wps:wsp>
                        <wps:cNvPr id="23" name="1075"/>
                        <wps:cNvSpPr>
                          <a:spLocks noChangeArrowheads="1"/>
                        </wps:cNvSpPr>
                        <wps:spPr bwMode="auto">
                          <a:xfrm>
                            <a:off x="4577" y="52890"/>
                            <a:ext cx="8324" cy="1123"/>
                          </a:xfrm>
                          <a:prstGeom prst="rect">
                            <a:avLst/>
                          </a:prstGeom>
                          <a:solidFill>
                            <a:srgbClr val="AD002D"/>
                          </a:solidFill>
                          <a:ln w="25400">
                            <a:solidFill>
                              <a:srgbClr val="AF7621"/>
                            </a:solidFill>
                            <a:miter lim="800000"/>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wps:txbx>
                        <wps:bodyPr rot="0" vert="horz" wrap="square" lIns="91440" tIns="45720" rIns="91440" bIns="45720" anchor="ctr" anchorCtr="0" upright="1">
                          <a:noAutofit/>
                        </wps:bodyPr>
                      </wps:wsp>
                    </wpg:wgp>
                  </a:graphicData>
                </a:graphic>
              </wp:anchor>
            </w:drawing>
          </mc:Choice>
          <mc:Fallback>
            <w:pict>
              <v:group id="Group 131" o:spid="_x0000_s1026" o:spt="203" style="position:absolute;left:0pt;margin-left:0.3pt;margin-top:23.75pt;height:43.95pt;width:301.85pt;mso-position-horizontal-relative:page;mso-position-vertical-relative:page;z-index:251677696;mso-width-relative:page;mso-height-relative:page;" coordorigin="4551,52615" coordsize="8546,1398" o:gfxdata="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LoigwDXAAAABwEAAA8AAAAAAAAAAQAgAAAAIgAAAGRycy9kb3ducmV2Lnht&#10;bFBLAQIUABQAAAAIAIdO4kC4Eetg3gIAAPYHAAAOAAAAAAAAAAEAIAAAACYBAABkcnMvZTJvRG9j&#10;LnhtbFBLBQYAAAAABgAGAFkBAAB2BgAAAAA=&#10;">
                <o:lock v:ext="edit" aspectratio="f"/>
                <v:rect id="1074" o:spid="_x0000_s1026" o:spt="1" style="position:absolute;left:4551;top:52615;height:1175;width:8546;" fillcolor="#D8D8D8" filled="t" stroked="f" coordsize="21600,21600" o:gfxdata="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VPor4A&#10;AADbAAAADwAAAAAAAAABACAAAAAiAAAAZHJzL2Rvd25yZXYueG1sUEsBAhQAFAAAAAgAh07iQDMv&#10;BZ47AAAAOQAAABAAAAAAAAAAAQAgAAAADQEAAGRycy9zaGFwZXhtbC54bWxQSwUGAAAAAAYABgBb&#10;AQAAtwMAAAAA&#10;">
                  <v:fill on="t" focussize="0,0"/>
                  <v:stroke on="f"/>
                  <v:imagedata o:title=""/>
                  <o:lock v:ext="edit" aspectratio="f"/>
                </v:rect>
                <v:rect id="1075" o:spid="_x0000_s1026" o:spt="1" style="position:absolute;left:4577;top:52890;height:1123;width:8324;v-text-anchor:middle;" fillcolor="#AD002D" filled="t" stroked="t" coordsize="21600,21600" o:gfxdata="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f5JUe8AAAA&#10;2wAAAA8AAAAAAAAAAQAgAAAAIgAAAGRycy9kb3ducmV2LnhtbFBLAQIUABQAAAAIAIdO4kAzLwWe&#10;OwAAADkAAAAQAAAAAAAAAAEAIAAAAAsBAABkcnMvc2hhcGV4bWwueG1sUEsFBgAAAAAGAAYAWwEA&#10;ALUDAAAAAA==&#10;">
                  <v:fill on="t" focussize="0,0"/>
                  <v:stroke weight="2pt" color="#AF7621" miterlimit="8" joinstyle="miter"/>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mc:Fallback>
        </mc:AlternateContent>
      </w:r>
      <w:r>
        <w:rPr>
          <w:rFonts w:hint="eastAsia" w:ascii="仿宋_GB2312" w:hAnsi="Times New Roman" w:eastAsia="仿宋_GB2312" w:cs="DengXian-Regular"/>
          <w:kern w:val="2"/>
          <w:sz w:val="32"/>
          <w:szCs w:val="32"/>
          <w:lang w:val="en-US" w:eastAsia="zh-CN" w:bidi="ar-SA"/>
        </w:rPr>
        <w:t>邮电费、差旅费、会议费、福利费、日常维修费、专用材料及一般设备购置费、办公用房水电费、办公用房取暖费、办公用房物业管理费、公务用车运行维护费以及其他费用等。</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（二）政府采购情况</w:t>
      </w:r>
    </w:p>
    <w:p>
      <w:pPr>
        <w:snapToGrid w:val="0"/>
        <w:spacing w:line="580" w:lineRule="exact"/>
        <w:ind w:firstLine="640" w:firstLineChars="200"/>
        <w:jc w:val="left"/>
        <w:rPr>
          <w:rFonts w:hint="eastAsia" w:ascii="仿宋_GB2312" w:hAnsi="Times New Roman" w:eastAsia="仿宋_GB2312" w:cs="DengXian-Regular"/>
          <w:kern w:val="2"/>
          <w:sz w:val="32"/>
          <w:szCs w:val="32"/>
          <w:lang w:val="en-US" w:eastAsia="zh-CN" w:bidi="ar-SA"/>
        </w:rPr>
      </w:pPr>
      <w:r>
        <w:rPr>
          <w:rFonts w:hint="eastAsia" w:ascii="仿宋_GB2312" w:hAnsi="Times New Roman" w:eastAsia="仿宋_GB2312" w:cs="DengXian-Regular"/>
          <w:kern w:val="2"/>
          <w:sz w:val="32"/>
          <w:szCs w:val="32"/>
          <w:lang w:val="en-US" w:eastAsia="zh-CN" w:bidi="ar-SA"/>
        </w:rPr>
        <w:t>本部门2018年度政府采购支出总额9372.98万元，从采购类型来看，政府采购货物支出78.30 万元、政府采购工程支出0.00万元、政府采购服务支出9294.68万元。授予中小企业合同金5212.48万元，占政府采购支出总额的55.61%，其中授予小微企业合同金额3454.20万元，占政府采购支出总额的36.85%。</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（三）国有资产占用情况</w:t>
      </w:r>
    </w:p>
    <w:p>
      <w:pPr>
        <w:snapToGrid w:val="0"/>
        <w:spacing w:line="580" w:lineRule="exact"/>
        <w:ind w:firstLine="640" w:firstLineChars="200"/>
        <w:jc w:val="left"/>
        <w:rPr>
          <w:rFonts w:hint="eastAsia" w:ascii="仿宋_GB2312" w:hAnsi="Times New Roman" w:eastAsia="仿宋_GB2312" w:cs="DengXian-Regular"/>
          <w:kern w:val="2"/>
          <w:sz w:val="32"/>
          <w:szCs w:val="32"/>
          <w:lang w:val="en-US" w:eastAsia="zh-CN" w:bidi="ar-SA"/>
        </w:rPr>
      </w:pPr>
      <w:r>
        <w:rPr>
          <w:rFonts w:hint="eastAsia" w:ascii="仿宋_GB2312" w:hAnsi="Times New Roman" w:eastAsia="仿宋_GB2312" w:cs="DengXian-Regular"/>
          <w:kern w:val="2"/>
          <w:sz w:val="32"/>
          <w:szCs w:val="32"/>
          <w:lang w:val="en-US" w:eastAsia="zh-CN" w:bidi="ar-SA"/>
        </w:rPr>
        <w:t>截至2018年12月31日，本部门共有车辆41辆，与上年持平。其中，公车保有量为22辆，另有18辆为一般执法执勤用车，其他车辆1辆。</w:t>
      </w:r>
    </w:p>
    <w:p>
      <w:pPr>
        <w:snapToGrid w:val="0"/>
        <w:spacing w:line="580" w:lineRule="exact"/>
        <w:ind w:firstLine="640" w:firstLineChars="200"/>
        <w:jc w:val="left"/>
        <w:rPr>
          <w:rFonts w:hint="eastAsia" w:ascii="仿宋_GB2312" w:hAnsi="Times New Roman" w:eastAsia="仿宋_GB2312" w:cs="DengXian-Regular"/>
          <w:kern w:val="2"/>
          <w:sz w:val="32"/>
          <w:szCs w:val="32"/>
          <w:lang w:val="en-US" w:eastAsia="zh-CN" w:bidi="ar-SA"/>
        </w:rPr>
      </w:pPr>
    </w:p>
    <w:p>
      <w:pPr>
        <w:snapToGrid w:val="0"/>
        <w:spacing w:line="580" w:lineRule="exact"/>
        <w:ind w:firstLine="640" w:firstLineChars="200"/>
        <w:jc w:val="left"/>
        <w:rPr>
          <w:rFonts w:hint="eastAsia" w:ascii="仿宋_GB2312" w:hAnsi="Times New Roman" w:eastAsia="仿宋_GB2312" w:cs="DengXian-Regular"/>
          <w:kern w:val="2"/>
          <w:sz w:val="32"/>
          <w:szCs w:val="32"/>
          <w:lang w:val="en-US" w:eastAsia="zh-CN" w:bidi="ar-SA"/>
        </w:rPr>
        <w:sectPr>
          <w:headerReference r:id="rId9" w:type="default"/>
          <w:pgSz w:w="16838" w:h="11906" w:orient="landscape"/>
          <w:pgMar w:top="1080" w:right="1440" w:bottom="1080" w:left="1440" w:header="851" w:footer="992" w:gutter="0"/>
          <w:cols w:space="0" w:num="1"/>
          <w:docGrid w:linePitch="312" w:charSpace="0"/>
        </w:sectPr>
      </w:pPr>
    </w:p>
    <w:p>
      <w:pPr>
        <w:spacing w:after="0" w:line="560" w:lineRule="exact"/>
        <w:rPr>
          <w:rFonts w:ascii="仿宋" w:hAnsi="仿宋" w:eastAsia="仿宋" w:cs="仿宋"/>
          <w:sz w:val="32"/>
          <w:szCs w:val="32"/>
        </w:rPr>
      </w:pPr>
      <w:r>
        <w:rPr>
          <w:rFonts w:ascii="仿宋" w:hAnsi="仿宋" w:eastAsia="仿宋" w:cs="仿宋"/>
          <w:sz w:val="32"/>
          <w:szCs w:val="32"/>
        </w:rPr>
        <mc:AlternateContent>
          <mc:Choice Requires="wpg">
            <w:drawing>
              <wp:anchor distT="0" distB="0" distL="114300" distR="114300" simplePos="0" relativeHeight="251678720" behindDoc="0" locked="1" layoutInCell="1" allowOverlap="1">
                <wp:simplePos x="0" y="0"/>
                <wp:positionH relativeFrom="page">
                  <wp:posOffset>3810</wp:posOffset>
                </wp:positionH>
                <wp:positionV relativeFrom="page">
                  <wp:posOffset>717550</wp:posOffset>
                </wp:positionV>
                <wp:extent cx="3833495" cy="558165"/>
                <wp:effectExtent l="3810" t="3175" r="1270" b="19685"/>
                <wp:wrapNone/>
                <wp:docPr id="18" name="Group 134"/>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19" name="1074"/>
                        <wps:cNvSpPr>
                          <a:spLocks noChangeArrowheads="1"/>
                        </wps:cNvSpPr>
                        <wps:spPr bwMode="auto">
                          <a:xfrm>
                            <a:off x="4551" y="52615"/>
                            <a:ext cx="8546" cy="1175"/>
                          </a:xfrm>
                          <a:prstGeom prst="rect">
                            <a:avLst/>
                          </a:prstGeom>
                          <a:solidFill>
                            <a:srgbClr val="D8D8D8"/>
                          </a:solidFill>
                          <a:ln>
                            <a:noFill/>
                          </a:ln>
                        </wps:spPr>
                        <wps:bodyPr rot="0" vert="horz" wrap="square" lIns="91440" tIns="45720" rIns="91440" bIns="45720" anchor="t" anchorCtr="0" upright="1">
                          <a:noAutofit/>
                        </wps:bodyPr>
                      </wps:wsp>
                      <wps:wsp>
                        <wps:cNvPr id="20" name="1075"/>
                        <wps:cNvSpPr>
                          <a:spLocks noChangeArrowheads="1"/>
                        </wps:cNvSpPr>
                        <wps:spPr bwMode="auto">
                          <a:xfrm>
                            <a:off x="4577" y="52890"/>
                            <a:ext cx="8324" cy="1123"/>
                          </a:xfrm>
                          <a:prstGeom prst="rect">
                            <a:avLst/>
                          </a:prstGeom>
                          <a:solidFill>
                            <a:srgbClr val="AD002D"/>
                          </a:solidFill>
                          <a:ln w="25400">
                            <a:solidFill>
                              <a:srgbClr val="AF7621"/>
                            </a:solidFill>
                            <a:miter lim="800000"/>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wps:txbx>
                        <wps:bodyPr rot="0" vert="horz" wrap="square" lIns="91440" tIns="45720" rIns="91440" bIns="45720" anchor="ctr" anchorCtr="0" upright="1">
                          <a:noAutofit/>
                        </wps:bodyPr>
                      </wps:wsp>
                    </wpg:wgp>
                  </a:graphicData>
                </a:graphic>
              </wp:anchor>
            </w:drawing>
          </mc:Choice>
          <mc:Fallback>
            <w:pict>
              <v:group id="Group 134" o:spid="_x0000_s1026" o:spt="203" style="position:absolute;left:0pt;margin-left:0.3pt;margin-top:56.5pt;height:43.95pt;width:301.85pt;mso-position-horizontal-relative:page;mso-position-vertical-relative:page;z-index:251678720;mso-width-relative:page;mso-height-relative:page;" coordorigin="4551,52615" coordsize="8546,1398" o:gfxdata="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BdyRRHXAAAACAEAAA8AAAAAAAAAAQAgAAAAIgAAAGRycy9kb3du&#10;cmV2LnhtbFBLAQIUABQAAAAIAIdO4kASI4h05AIAAPYHAAAOAAAAAAAAAAEAIAAAACYBAABkcnMv&#10;ZTJvRG9jLnhtbFBLBQYAAAAABgAGAFkBAAB8BgAAAAA=&#10;">
                <o:lock v:ext="edit" aspectratio="f"/>
                <v:rect id="1074" o:spid="_x0000_s1026" o:spt="1" style="position:absolute;left:4551;top:52615;height:1175;width:8546;" fillcolor="#D8D8D8" filled="t" stroked="f" coordsize="21600,21600" o:gfxdata="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p0XbrsAAADb&#10;AAAADwAAAAAAAAABACAAAAAiAAAAZHJzL2Rvd25yZXYueG1sUEsBAhQAFAAAAAgAh07iQDMvBZ47&#10;AAAAOQAAABAAAAAAAAAAAQAgAAAACgEAAGRycy9zaGFwZXhtbC54bWxQSwUGAAAAAAYABgBbAQAA&#10;tAMAAAAA&#10;">
                  <v:fill on="t" focussize="0,0"/>
                  <v:stroke on="f"/>
                  <v:imagedata o:title=""/>
                  <o:lock v:ext="edit" aspectratio="f"/>
                </v:rect>
                <v:rect id="1075" o:spid="_x0000_s1026" o:spt="1" style="position:absolute;left:4577;top:52890;height:1123;width:8324;v-text-anchor:middle;" fillcolor="#AD002D" filled="t" stroked="t" coordsize="21600,21600" o:gfxdata="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cruzC5AAAA2wAA&#10;AA8AAAAAAAAAAQAgAAAAIgAAAGRycy9kb3ducmV2LnhtbFBLAQIUABQAAAAIAIdO4kAzLwWeOwAA&#10;ADkAAAAQAAAAAAAAAAEAIAAAAAgBAABkcnMvc2hhcGV4bWwueG1sUEsFBgAAAAAGAAYAWwEAALID&#10;AAAAAA==&#10;">
                  <v:fill on="t" focussize="0,0"/>
                  <v:stroke weight="2pt" color="#AF7621" miterlimit="8" joinstyle="miter"/>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mc:Fallback>
        </mc:AlternateContent>
      </w:r>
      <w:r>
        <w:rPr>
          <w:rFonts w:hint="eastAsia" w:ascii="仿宋" w:hAnsi="仿宋" w:eastAsia="仿宋" w:cs="仿宋"/>
          <w:sz w:val="32"/>
          <w:szCs w:val="32"/>
        </w:rPr>
        <w:t xml:space="preserve">     </w:t>
      </w:r>
      <w:r>
        <w:rPr>
          <w:rFonts w:hint="eastAsia" w:ascii="仿宋_GB2312" w:hAnsi="Times New Roman" w:eastAsia="仿宋_GB2312" w:cs="DengXian-Regular"/>
          <w:kern w:val="2"/>
          <w:sz w:val="32"/>
          <w:szCs w:val="32"/>
          <w:lang w:val="en-US" w:eastAsia="zh-CN" w:bidi="ar-SA"/>
        </w:rPr>
        <w:t>截至2018年12月31日，我部门资产总额为万元（具体情况见下表）</w:t>
      </w:r>
      <w:r>
        <w:rPr>
          <w:rFonts w:hint="eastAsia" w:ascii="仿宋" w:hAnsi="仿宋" w:eastAsia="仿宋" w:cs="仿宋"/>
          <w:sz w:val="32"/>
          <w:szCs w:val="32"/>
        </w:rPr>
        <w:t>。</w:t>
      </w:r>
    </w:p>
    <w:tbl>
      <w:tblPr>
        <w:tblStyle w:val="12"/>
        <w:tblW w:w="13928" w:type="dxa"/>
        <w:jc w:val="center"/>
        <w:tblLayout w:type="fixed"/>
        <w:tblCellMar>
          <w:top w:w="15" w:type="dxa"/>
          <w:left w:w="15" w:type="dxa"/>
          <w:bottom w:w="15" w:type="dxa"/>
          <w:right w:w="15" w:type="dxa"/>
        </w:tblCellMar>
      </w:tblPr>
      <w:tblGrid>
        <w:gridCol w:w="3195"/>
        <w:gridCol w:w="1701"/>
        <w:gridCol w:w="1559"/>
        <w:gridCol w:w="1701"/>
        <w:gridCol w:w="1701"/>
        <w:gridCol w:w="1985"/>
        <w:gridCol w:w="2086"/>
      </w:tblGrid>
      <w:tr>
        <w:tblPrEx>
          <w:tblCellMar>
            <w:top w:w="15" w:type="dxa"/>
            <w:left w:w="15" w:type="dxa"/>
            <w:bottom w:w="15" w:type="dxa"/>
            <w:right w:w="15" w:type="dxa"/>
          </w:tblCellMar>
        </w:tblPrEx>
        <w:trPr>
          <w:trHeight w:val="284" w:hRule="atLeast"/>
          <w:jc w:val="center"/>
        </w:trPr>
        <w:tc>
          <w:tcPr>
            <w:tcW w:w="13928" w:type="dxa"/>
            <w:gridSpan w:val="7"/>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4"/>
              </w:rPr>
              <w:t>一、非公共基础设施明细表</w:t>
            </w:r>
          </w:p>
        </w:tc>
      </w:tr>
      <w:tr>
        <w:tblPrEx>
          <w:tblCellMar>
            <w:top w:w="15" w:type="dxa"/>
            <w:left w:w="15" w:type="dxa"/>
            <w:bottom w:w="15" w:type="dxa"/>
            <w:right w:w="15" w:type="dxa"/>
          </w:tblCellMar>
        </w:tblPrEx>
        <w:trPr>
          <w:trHeight w:val="284" w:hRule="atLeast"/>
          <w:jc w:val="center"/>
        </w:trPr>
        <w:tc>
          <w:tcPr>
            <w:tcW w:w="3195" w:type="dxa"/>
            <w:vMerge w:val="restart"/>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资产类别</w:t>
            </w:r>
          </w:p>
        </w:tc>
        <w:tc>
          <w:tcPr>
            <w:tcW w:w="4961" w:type="dxa"/>
            <w:gridSpan w:val="3"/>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年初数</w:t>
            </w:r>
          </w:p>
        </w:tc>
        <w:tc>
          <w:tcPr>
            <w:tcW w:w="5772" w:type="dxa"/>
            <w:gridSpan w:val="3"/>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年末数</w:t>
            </w:r>
          </w:p>
        </w:tc>
      </w:tr>
      <w:tr>
        <w:tblPrEx>
          <w:tblCellMar>
            <w:top w:w="15" w:type="dxa"/>
            <w:left w:w="15" w:type="dxa"/>
            <w:bottom w:w="15" w:type="dxa"/>
            <w:right w:w="15" w:type="dxa"/>
          </w:tblCellMar>
        </w:tblPrEx>
        <w:trPr>
          <w:trHeight w:val="284" w:hRule="atLeast"/>
          <w:jc w:val="center"/>
        </w:trPr>
        <w:tc>
          <w:tcPr>
            <w:tcW w:w="3195" w:type="dxa"/>
            <w:vMerge w:val="continue"/>
            <w:tcBorders>
              <w:top w:val="single" w:color="000000" w:sz="4" w:space="0"/>
              <w:left w:val="single" w:color="000000" w:sz="12"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701"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资产原值</w:t>
            </w:r>
          </w:p>
        </w:tc>
        <w:tc>
          <w:tcPr>
            <w:tcW w:w="1559"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累计折旧</w:t>
            </w:r>
          </w:p>
        </w:tc>
        <w:tc>
          <w:tcPr>
            <w:tcW w:w="1701"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资产净值</w:t>
            </w:r>
          </w:p>
        </w:tc>
        <w:tc>
          <w:tcPr>
            <w:tcW w:w="1701"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资产原值</w:t>
            </w:r>
          </w:p>
        </w:tc>
        <w:tc>
          <w:tcPr>
            <w:tcW w:w="1985"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累计折旧</w:t>
            </w:r>
          </w:p>
        </w:tc>
        <w:tc>
          <w:tcPr>
            <w:tcW w:w="208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pPr>
            <w:r>
              <w:rPr>
                <w:rFonts w:hint="eastAsia" w:ascii="宋体" w:hAnsi="宋体" w:cs="宋体"/>
                <w:color w:val="000000"/>
                <w:kern w:val="0"/>
                <w:sz w:val="22"/>
                <w:szCs w:val="22"/>
              </w:rPr>
              <w:t>资产净值</w:t>
            </w:r>
          </w:p>
        </w:tc>
      </w:tr>
      <w:tr>
        <w:tblPrEx>
          <w:tblCellMar>
            <w:top w:w="15" w:type="dxa"/>
            <w:left w:w="15" w:type="dxa"/>
            <w:bottom w:w="15" w:type="dxa"/>
            <w:right w:w="15" w:type="dxa"/>
          </w:tblCellMar>
        </w:tblPrEx>
        <w:trPr>
          <w:trHeight w:val="284" w:hRule="atLeast"/>
          <w:jc w:val="center"/>
        </w:trPr>
        <w:tc>
          <w:tcPr>
            <w:tcW w:w="319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房屋及构筑物</w:t>
            </w:r>
          </w:p>
        </w:tc>
        <w:tc>
          <w:tcPr>
            <w:tcW w:w="1701" w:type="dxa"/>
            <w:tcBorders>
              <w:top w:val="single" w:color="000000" w:sz="4" w:space="0"/>
              <w:bottom w:val="single" w:color="000000" w:sz="4" w:space="0"/>
              <w:right w:val="single" w:color="000000" w:sz="4" w:space="0"/>
            </w:tcBorders>
            <w:shd w:val="clear" w:color="auto" w:fill="auto"/>
            <w:vAlign w:val="center"/>
          </w:tcPr>
          <w:p>
            <w:pPr>
              <w:jc w:val="right"/>
              <w:rPr>
                <w:rFonts w:ascii="Arial Narrow" w:hAnsi="Arial Narrow" w:cs="Arial"/>
                <w:color w:val="000000"/>
                <w:sz w:val="24"/>
              </w:rPr>
            </w:pPr>
            <w:r>
              <w:rPr>
                <w:rFonts w:ascii="Arial Narrow" w:hAnsi="Arial Narrow" w:cs="Arial"/>
                <w:color w:val="000000"/>
              </w:rPr>
              <w:t>584.04</w:t>
            </w:r>
          </w:p>
        </w:tc>
        <w:tc>
          <w:tcPr>
            <w:tcW w:w="1559" w:type="dxa"/>
            <w:tcBorders>
              <w:top w:val="single" w:color="000000" w:sz="4" w:space="0"/>
              <w:bottom w:val="single" w:color="000000" w:sz="4" w:space="0"/>
              <w:right w:val="single" w:color="000000" w:sz="4" w:space="0"/>
            </w:tcBorders>
            <w:shd w:val="clear" w:color="auto" w:fill="auto"/>
            <w:vAlign w:val="center"/>
          </w:tcPr>
          <w:p>
            <w:pPr>
              <w:jc w:val="right"/>
              <w:rPr>
                <w:rFonts w:ascii="Arial Narrow" w:hAnsi="Arial Narrow" w:cs="Arial"/>
                <w:color w:val="000000"/>
                <w:sz w:val="24"/>
              </w:rPr>
            </w:pPr>
            <w:r>
              <w:rPr>
                <w:rFonts w:ascii="Arial Narrow" w:hAnsi="Arial Narrow" w:cs="Arial"/>
                <w:color w:val="000000"/>
              </w:rPr>
              <w:t>　</w:t>
            </w:r>
          </w:p>
        </w:tc>
        <w:tc>
          <w:tcPr>
            <w:tcW w:w="1701" w:type="dxa"/>
            <w:tcBorders>
              <w:top w:val="single" w:color="000000" w:sz="4" w:space="0"/>
              <w:bottom w:val="single" w:color="000000" w:sz="4" w:space="0"/>
              <w:right w:val="single" w:color="000000" w:sz="4" w:space="0"/>
            </w:tcBorders>
            <w:shd w:val="clear" w:color="auto" w:fill="auto"/>
            <w:vAlign w:val="center"/>
          </w:tcPr>
          <w:p>
            <w:pPr>
              <w:jc w:val="right"/>
              <w:rPr>
                <w:rFonts w:ascii="Arial Narrow" w:hAnsi="Arial Narrow" w:cs="Arial"/>
                <w:color w:val="000000"/>
                <w:sz w:val="24"/>
              </w:rPr>
            </w:pPr>
            <w:r>
              <w:rPr>
                <w:rFonts w:ascii="Arial Narrow" w:hAnsi="Arial Narrow" w:cs="Arial"/>
                <w:color w:val="000000"/>
              </w:rPr>
              <w:t>584.04</w:t>
            </w:r>
          </w:p>
        </w:tc>
        <w:tc>
          <w:tcPr>
            <w:tcW w:w="1701" w:type="dxa"/>
            <w:tcBorders>
              <w:top w:val="single" w:color="000000" w:sz="4" w:space="0"/>
              <w:bottom w:val="single" w:color="000000" w:sz="4" w:space="0"/>
              <w:right w:val="single" w:color="000000" w:sz="4" w:space="0"/>
            </w:tcBorders>
            <w:shd w:val="clear" w:color="auto" w:fill="auto"/>
            <w:vAlign w:val="center"/>
          </w:tcPr>
          <w:p>
            <w:pPr>
              <w:jc w:val="right"/>
              <w:rPr>
                <w:rFonts w:ascii="Arial Narrow" w:hAnsi="Arial Narrow" w:cs="Arial"/>
                <w:color w:val="000000"/>
                <w:sz w:val="24"/>
              </w:rPr>
            </w:pPr>
            <w:r>
              <w:rPr>
                <w:rFonts w:ascii="Arial Narrow" w:hAnsi="Arial Narrow" w:cs="Arial"/>
                <w:color w:val="000000"/>
              </w:rPr>
              <w:t>584.04</w:t>
            </w:r>
          </w:p>
        </w:tc>
        <w:tc>
          <w:tcPr>
            <w:tcW w:w="1985" w:type="dxa"/>
            <w:tcBorders>
              <w:top w:val="single" w:color="000000" w:sz="4" w:space="0"/>
              <w:bottom w:val="single" w:color="000000" w:sz="4" w:space="0"/>
              <w:right w:val="single" w:color="000000" w:sz="4" w:space="0"/>
            </w:tcBorders>
            <w:shd w:val="clear" w:color="auto" w:fill="auto"/>
            <w:vAlign w:val="center"/>
          </w:tcPr>
          <w:p>
            <w:pPr>
              <w:jc w:val="right"/>
              <w:rPr>
                <w:rFonts w:ascii="Arial Narrow" w:hAnsi="Arial Narrow" w:cs="Arial"/>
                <w:color w:val="000000"/>
                <w:sz w:val="24"/>
              </w:rPr>
            </w:pPr>
            <w:r>
              <w:rPr>
                <w:rFonts w:ascii="Arial Narrow" w:hAnsi="Arial Narrow" w:cs="Arial"/>
                <w:color w:val="000000"/>
              </w:rPr>
              <w:t>386.49</w:t>
            </w:r>
          </w:p>
        </w:tc>
        <w:tc>
          <w:tcPr>
            <w:tcW w:w="2086" w:type="dxa"/>
            <w:tcBorders>
              <w:top w:val="single" w:color="000000" w:sz="4" w:space="0"/>
              <w:bottom w:val="single" w:color="000000" w:sz="4" w:space="0"/>
              <w:right w:val="single" w:color="000000" w:sz="4" w:space="0"/>
            </w:tcBorders>
            <w:shd w:val="clear" w:color="auto" w:fill="auto"/>
            <w:vAlign w:val="center"/>
          </w:tcPr>
          <w:p>
            <w:pPr>
              <w:jc w:val="right"/>
              <w:rPr>
                <w:rFonts w:ascii="Arial Narrow" w:hAnsi="Arial Narrow" w:cs="Arial"/>
                <w:color w:val="000000"/>
                <w:sz w:val="24"/>
              </w:rPr>
            </w:pPr>
            <w:r>
              <w:rPr>
                <w:rFonts w:ascii="Arial Narrow" w:hAnsi="Arial Narrow" w:cs="Arial"/>
                <w:color w:val="000000"/>
              </w:rPr>
              <w:t>197.55</w:t>
            </w:r>
          </w:p>
        </w:tc>
      </w:tr>
      <w:tr>
        <w:tblPrEx>
          <w:tblCellMar>
            <w:top w:w="15" w:type="dxa"/>
            <w:left w:w="15" w:type="dxa"/>
            <w:bottom w:w="15" w:type="dxa"/>
            <w:right w:w="15" w:type="dxa"/>
          </w:tblCellMar>
        </w:tblPrEx>
        <w:trPr>
          <w:trHeight w:val="284" w:hRule="atLeast"/>
          <w:jc w:val="center"/>
        </w:trPr>
        <w:tc>
          <w:tcPr>
            <w:tcW w:w="319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通用设备</w:t>
            </w:r>
          </w:p>
        </w:tc>
        <w:tc>
          <w:tcPr>
            <w:tcW w:w="1701" w:type="dxa"/>
            <w:tcBorders>
              <w:top w:val="single" w:color="000000" w:sz="4" w:space="0"/>
              <w:bottom w:val="single" w:color="000000" w:sz="4" w:space="0"/>
              <w:right w:val="single" w:color="000000" w:sz="4" w:space="0"/>
            </w:tcBorders>
            <w:shd w:val="clear" w:color="auto" w:fill="auto"/>
            <w:vAlign w:val="center"/>
          </w:tcPr>
          <w:p>
            <w:pPr>
              <w:jc w:val="right"/>
              <w:rPr>
                <w:rFonts w:ascii="Arial Narrow" w:hAnsi="Arial Narrow" w:cs="Arial"/>
                <w:color w:val="000000"/>
                <w:sz w:val="24"/>
              </w:rPr>
            </w:pPr>
            <w:r>
              <w:rPr>
                <w:rFonts w:ascii="Arial Narrow" w:hAnsi="Arial Narrow" w:cs="Arial"/>
                <w:color w:val="000000"/>
              </w:rPr>
              <w:t>615.63</w:t>
            </w:r>
          </w:p>
        </w:tc>
        <w:tc>
          <w:tcPr>
            <w:tcW w:w="1559" w:type="dxa"/>
            <w:tcBorders>
              <w:top w:val="single" w:color="000000" w:sz="4" w:space="0"/>
              <w:bottom w:val="single" w:color="000000" w:sz="4" w:space="0"/>
              <w:right w:val="single" w:color="000000" w:sz="4" w:space="0"/>
            </w:tcBorders>
            <w:shd w:val="clear" w:color="auto" w:fill="auto"/>
            <w:vAlign w:val="center"/>
          </w:tcPr>
          <w:p>
            <w:pPr>
              <w:jc w:val="right"/>
              <w:rPr>
                <w:rFonts w:ascii="Arial Narrow" w:hAnsi="Arial Narrow" w:cs="Arial"/>
                <w:color w:val="000000"/>
                <w:sz w:val="24"/>
              </w:rPr>
            </w:pPr>
            <w:r>
              <w:rPr>
                <w:rFonts w:ascii="Arial Narrow" w:hAnsi="Arial Narrow" w:cs="Arial"/>
                <w:color w:val="000000"/>
              </w:rPr>
              <w:t>　</w:t>
            </w:r>
          </w:p>
        </w:tc>
        <w:tc>
          <w:tcPr>
            <w:tcW w:w="1701" w:type="dxa"/>
            <w:tcBorders>
              <w:top w:val="single" w:color="000000" w:sz="4" w:space="0"/>
              <w:bottom w:val="single" w:color="000000" w:sz="4" w:space="0"/>
              <w:right w:val="single" w:color="000000" w:sz="4" w:space="0"/>
            </w:tcBorders>
            <w:shd w:val="clear" w:color="auto" w:fill="auto"/>
            <w:vAlign w:val="center"/>
          </w:tcPr>
          <w:p>
            <w:pPr>
              <w:jc w:val="right"/>
              <w:rPr>
                <w:rFonts w:ascii="Arial Narrow" w:hAnsi="Arial Narrow" w:cs="Arial"/>
                <w:color w:val="000000"/>
                <w:sz w:val="24"/>
              </w:rPr>
            </w:pPr>
            <w:r>
              <w:rPr>
                <w:rFonts w:ascii="Arial Narrow" w:hAnsi="Arial Narrow" w:cs="Arial"/>
                <w:color w:val="000000"/>
              </w:rPr>
              <w:t>615.63</w:t>
            </w:r>
          </w:p>
        </w:tc>
        <w:tc>
          <w:tcPr>
            <w:tcW w:w="1701" w:type="dxa"/>
            <w:tcBorders>
              <w:top w:val="single" w:color="000000" w:sz="4" w:space="0"/>
              <w:bottom w:val="single" w:color="000000" w:sz="4" w:space="0"/>
              <w:right w:val="single" w:color="000000" w:sz="4" w:space="0"/>
            </w:tcBorders>
            <w:shd w:val="clear" w:color="auto" w:fill="auto"/>
            <w:vAlign w:val="center"/>
          </w:tcPr>
          <w:p>
            <w:pPr>
              <w:jc w:val="right"/>
              <w:rPr>
                <w:rFonts w:ascii="Arial Narrow" w:hAnsi="Arial Narrow" w:cs="Arial"/>
                <w:color w:val="000000"/>
                <w:sz w:val="24"/>
              </w:rPr>
            </w:pPr>
            <w:r>
              <w:rPr>
                <w:rFonts w:ascii="Arial Narrow" w:hAnsi="Arial Narrow" w:cs="Arial"/>
                <w:color w:val="000000"/>
              </w:rPr>
              <w:t>695.94</w:t>
            </w:r>
          </w:p>
        </w:tc>
        <w:tc>
          <w:tcPr>
            <w:tcW w:w="1985" w:type="dxa"/>
            <w:tcBorders>
              <w:top w:val="single" w:color="000000" w:sz="4" w:space="0"/>
              <w:bottom w:val="single" w:color="000000" w:sz="4" w:space="0"/>
              <w:right w:val="single" w:color="000000" w:sz="4" w:space="0"/>
            </w:tcBorders>
            <w:shd w:val="clear" w:color="auto" w:fill="auto"/>
            <w:vAlign w:val="center"/>
          </w:tcPr>
          <w:p>
            <w:pPr>
              <w:jc w:val="right"/>
              <w:rPr>
                <w:rFonts w:ascii="Arial Narrow" w:hAnsi="Arial Narrow" w:cs="Arial"/>
                <w:color w:val="000000"/>
                <w:sz w:val="24"/>
              </w:rPr>
            </w:pPr>
            <w:r>
              <w:rPr>
                <w:rFonts w:ascii="Arial Narrow" w:hAnsi="Arial Narrow" w:cs="Arial"/>
                <w:color w:val="000000"/>
              </w:rPr>
              <w:t>271.20</w:t>
            </w:r>
          </w:p>
        </w:tc>
        <w:tc>
          <w:tcPr>
            <w:tcW w:w="2086" w:type="dxa"/>
            <w:tcBorders>
              <w:top w:val="single" w:color="000000" w:sz="4" w:space="0"/>
              <w:bottom w:val="single" w:color="000000" w:sz="4" w:space="0"/>
              <w:right w:val="single" w:color="000000" w:sz="4" w:space="0"/>
            </w:tcBorders>
            <w:shd w:val="clear" w:color="auto" w:fill="auto"/>
            <w:vAlign w:val="center"/>
          </w:tcPr>
          <w:p>
            <w:pPr>
              <w:jc w:val="right"/>
              <w:rPr>
                <w:rFonts w:ascii="Arial Narrow" w:hAnsi="Arial Narrow" w:cs="Arial"/>
                <w:color w:val="000000"/>
                <w:sz w:val="24"/>
              </w:rPr>
            </w:pPr>
            <w:r>
              <w:rPr>
                <w:rFonts w:ascii="Arial Narrow" w:hAnsi="Arial Narrow" w:cs="Arial"/>
                <w:color w:val="000000"/>
              </w:rPr>
              <w:t>424.75</w:t>
            </w:r>
          </w:p>
        </w:tc>
      </w:tr>
      <w:tr>
        <w:tblPrEx>
          <w:tblCellMar>
            <w:top w:w="15" w:type="dxa"/>
            <w:left w:w="15" w:type="dxa"/>
            <w:bottom w:w="15" w:type="dxa"/>
            <w:right w:w="15" w:type="dxa"/>
          </w:tblCellMar>
        </w:tblPrEx>
        <w:trPr>
          <w:trHeight w:val="284" w:hRule="atLeast"/>
          <w:jc w:val="center"/>
        </w:trPr>
        <w:tc>
          <w:tcPr>
            <w:tcW w:w="319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专用设备</w:t>
            </w:r>
          </w:p>
        </w:tc>
        <w:tc>
          <w:tcPr>
            <w:tcW w:w="1701" w:type="dxa"/>
            <w:tcBorders>
              <w:top w:val="single" w:color="000000" w:sz="4" w:space="0"/>
              <w:bottom w:val="single" w:color="000000" w:sz="4" w:space="0"/>
              <w:right w:val="single" w:color="000000" w:sz="4" w:space="0"/>
            </w:tcBorders>
            <w:shd w:val="clear" w:color="auto" w:fill="auto"/>
            <w:vAlign w:val="center"/>
          </w:tcPr>
          <w:p>
            <w:pPr>
              <w:jc w:val="right"/>
              <w:rPr>
                <w:rFonts w:ascii="Arial Narrow" w:hAnsi="Arial Narrow" w:cs="Arial"/>
                <w:color w:val="000000"/>
                <w:sz w:val="24"/>
              </w:rPr>
            </w:pPr>
            <w:r>
              <w:rPr>
                <w:rFonts w:ascii="Arial Narrow" w:hAnsi="Arial Narrow" w:cs="Arial"/>
                <w:color w:val="000000"/>
              </w:rPr>
              <w:t>9,663.04</w:t>
            </w:r>
          </w:p>
        </w:tc>
        <w:tc>
          <w:tcPr>
            <w:tcW w:w="1559" w:type="dxa"/>
            <w:tcBorders>
              <w:top w:val="single" w:color="000000" w:sz="4" w:space="0"/>
              <w:bottom w:val="single" w:color="000000" w:sz="4" w:space="0"/>
              <w:right w:val="single" w:color="000000" w:sz="4" w:space="0"/>
            </w:tcBorders>
            <w:shd w:val="clear" w:color="auto" w:fill="auto"/>
            <w:vAlign w:val="center"/>
          </w:tcPr>
          <w:p>
            <w:pPr>
              <w:jc w:val="right"/>
              <w:rPr>
                <w:rFonts w:ascii="Arial Narrow" w:hAnsi="Arial Narrow" w:cs="Arial"/>
                <w:color w:val="000000"/>
                <w:sz w:val="24"/>
              </w:rPr>
            </w:pPr>
            <w:r>
              <w:rPr>
                <w:rFonts w:ascii="Arial Narrow" w:hAnsi="Arial Narrow" w:cs="Arial"/>
                <w:color w:val="000000"/>
              </w:rPr>
              <w:t>　</w:t>
            </w:r>
          </w:p>
        </w:tc>
        <w:tc>
          <w:tcPr>
            <w:tcW w:w="1701" w:type="dxa"/>
            <w:tcBorders>
              <w:top w:val="single" w:color="000000" w:sz="4" w:space="0"/>
              <w:bottom w:val="single" w:color="000000" w:sz="4" w:space="0"/>
              <w:right w:val="single" w:color="000000" w:sz="4" w:space="0"/>
            </w:tcBorders>
            <w:shd w:val="clear" w:color="auto" w:fill="auto"/>
            <w:vAlign w:val="center"/>
          </w:tcPr>
          <w:p>
            <w:pPr>
              <w:jc w:val="right"/>
              <w:rPr>
                <w:rFonts w:ascii="Arial Narrow" w:hAnsi="Arial Narrow" w:cs="Arial"/>
                <w:color w:val="000000"/>
                <w:sz w:val="24"/>
              </w:rPr>
            </w:pPr>
            <w:r>
              <w:rPr>
                <w:rFonts w:ascii="Arial Narrow" w:hAnsi="Arial Narrow" w:cs="Arial"/>
                <w:color w:val="000000"/>
              </w:rPr>
              <w:t>9,663.04</w:t>
            </w:r>
          </w:p>
        </w:tc>
        <w:tc>
          <w:tcPr>
            <w:tcW w:w="1701" w:type="dxa"/>
            <w:tcBorders>
              <w:top w:val="single" w:color="000000" w:sz="4" w:space="0"/>
              <w:bottom w:val="single" w:color="000000" w:sz="4" w:space="0"/>
              <w:right w:val="single" w:color="000000" w:sz="4" w:space="0"/>
            </w:tcBorders>
            <w:shd w:val="clear" w:color="auto" w:fill="auto"/>
            <w:vAlign w:val="center"/>
          </w:tcPr>
          <w:p>
            <w:pPr>
              <w:jc w:val="right"/>
              <w:rPr>
                <w:rFonts w:ascii="Arial Narrow" w:hAnsi="Arial Narrow" w:cs="Arial"/>
                <w:color w:val="000000"/>
                <w:sz w:val="24"/>
              </w:rPr>
            </w:pPr>
            <w:r>
              <w:rPr>
                <w:rFonts w:ascii="Arial Narrow" w:hAnsi="Arial Narrow" w:cs="Arial"/>
                <w:color w:val="000000"/>
              </w:rPr>
              <w:t>16,877.55</w:t>
            </w:r>
          </w:p>
        </w:tc>
        <w:tc>
          <w:tcPr>
            <w:tcW w:w="1985" w:type="dxa"/>
            <w:tcBorders>
              <w:top w:val="single" w:color="000000" w:sz="4" w:space="0"/>
              <w:bottom w:val="single" w:color="000000" w:sz="4" w:space="0"/>
              <w:right w:val="single" w:color="000000" w:sz="4" w:space="0"/>
            </w:tcBorders>
            <w:shd w:val="clear" w:color="auto" w:fill="auto"/>
            <w:vAlign w:val="center"/>
          </w:tcPr>
          <w:p>
            <w:pPr>
              <w:jc w:val="right"/>
              <w:rPr>
                <w:rFonts w:ascii="Arial Narrow" w:hAnsi="Arial Narrow" w:cs="Arial"/>
                <w:color w:val="000000"/>
                <w:sz w:val="24"/>
              </w:rPr>
            </w:pPr>
            <w:r>
              <w:rPr>
                <w:rFonts w:ascii="Arial Narrow" w:hAnsi="Arial Narrow" w:cs="Arial"/>
                <w:color w:val="000000"/>
              </w:rPr>
              <w:t>3,525.45</w:t>
            </w:r>
          </w:p>
        </w:tc>
        <w:tc>
          <w:tcPr>
            <w:tcW w:w="2086" w:type="dxa"/>
            <w:tcBorders>
              <w:top w:val="single" w:color="000000" w:sz="4" w:space="0"/>
              <w:bottom w:val="single" w:color="000000" w:sz="4" w:space="0"/>
              <w:right w:val="single" w:color="000000" w:sz="4" w:space="0"/>
            </w:tcBorders>
            <w:shd w:val="clear" w:color="auto" w:fill="auto"/>
            <w:vAlign w:val="center"/>
          </w:tcPr>
          <w:p>
            <w:pPr>
              <w:jc w:val="right"/>
              <w:rPr>
                <w:rFonts w:ascii="Arial Narrow" w:hAnsi="Arial Narrow" w:cs="Arial"/>
                <w:color w:val="000000"/>
                <w:sz w:val="24"/>
              </w:rPr>
            </w:pPr>
            <w:r>
              <w:rPr>
                <w:rFonts w:ascii="Arial Narrow" w:hAnsi="Arial Narrow" w:cs="Arial"/>
                <w:color w:val="000000"/>
              </w:rPr>
              <w:t>13,352.10</w:t>
            </w:r>
          </w:p>
        </w:tc>
      </w:tr>
      <w:tr>
        <w:tblPrEx>
          <w:tblCellMar>
            <w:top w:w="15" w:type="dxa"/>
            <w:left w:w="15" w:type="dxa"/>
            <w:bottom w:w="15" w:type="dxa"/>
            <w:right w:w="15" w:type="dxa"/>
          </w:tblCellMar>
        </w:tblPrEx>
        <w:trPr>
          <w:trHeight w:val="284" w:hRule="atLeast"/>
          <w:jc w:val="center"/>
        </w:trPr>
        <w:tc>
          <w:tcPr>
            <w:tcW w:w="319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文物和陈列品</w:t>
            </w:r>
          </w:p>
        </w:tc>
        <w:tc>
          <w:tcPr>
            <w:tcW w:w="1701" w:type="dxa"/>
            <w:tcBorders>
              <w:top w:val="single" w:color="000000" w:sz="4" w:space="0"/>
              <w:bottom w:val="single" w:color="000000" w:sz="4" w:space="0"/>
              <w:right w:val="single" w:color="000000" w:sz="4" w:space="0"/>
            </w:tcBorders>
            <w:shd w:val="clear" w:color="auto" w:fill="auto"/>
            <w:vAlign w:val="center"/>
          </w:tcPr>
          <w:p>
            <w:pPr>
              <w:jc w:val="right"/>
              <w:rPr>
                <w:rFonts w:ascii="Arial Narrow" w:hAnsi="Arial Narrow" w:cs="Arial"/>
                <w:color w:val="000000"/>
                <w:sz w:val="24"/>
              </w:rPr>
            </w:pPr>
            <w:r>
              <w:rPr>
                <w:rFonts w:ascii="Arial Narrow" w:hAnsi="Arial Narrow" w:cs="Arial"/>
                <w:color w:val="000000"/>
              </w:rPr>
              <w:t>0.00</w:t>
            </w:r>
          </w:p>
        </w:tc>
        <w:tc>
          <w:tcPr>
            <w:tcW w:w="1559" w:type="dxa"/>
            <w:tcBorders>
              <w:top w:val="single" w:color="000000" w:sz="4" w:space="0"/>
              <w:bottom w:val="single" w:color="000000" w:sz="4" w:space="0"/>
              <w:right w:val="single" w:color="000000" w:sz="4" w:space="0"/>
            </w:tcBorders>
            <w:shd w:val="clear" w:color="auto" w:fill="auto"/>
            <w:vAlign w:val="center"/>
          </w:tcPr>
          <w:p>
            <w:pPr>
              <w:jc w:val="right"/>
              <w:rPr>
                <w:rFonts w:ascii="Arial Narrow" w:hAnsi="Arial Narrow" w:cs="Arial"/>
                <w:color w:val="000000"/>
                <w:sz w:val="24"/>
              </w:rPr>
            </w:pPr>
            <w:r>
              <w:rPr>
                <w:rFonts w:ascii="Arial Narrow" w:hAnsi="Arial Narrow" w:cs="Arial"/>
                <w:color w:val="000000"/>
              </w:rPr>
              <w:t>　</w:t>
            </w:r>
          </w:p>
        </w:tc>
        <w:tc>
          <w:tcPr>
            <w:tcW w:w="1701" w:type="dxa"/>
            <w:tcBorders>
              <w:top w:val="single" w:color="000000" w:sz="4" w:space="0"/>
              <w:bottom w:val="single" w:color="000000" w:sz="4" w:space="0"/>
              <w:right w:val="single" w:color="000000" w:sz="4" w:space="0"/>
            </w:tcBorders>
            <w:shd w:val="clear" w:color="auto" w:fill="auto"/>
            <w:vAlign w:val="center"/>
          </w:tcPr>
          <w:p>
            <w:pPr>
              <w:jc w:val="right"/>
              <w:rPr>
                <w:rFonts w:ascii="Arial Narrow" w:hAnsi="Arial Narrow" w:cs="Arial"/>
                <w:color w:val="000000"/>
                <w:sz w:val="24"/>
              </w:rPr>
            </w:pPr>
            <w:r>
              <w:rPr>
                <w:rFonts w:ascii="Arial Narrow" w:hAnsi="Arial Narrow" w:cs="Arial"/>
                <w:color w:val="000000"/>
              </w:rPr>
              <w:t>0.00</w:t>
            </w:r>
          </w:p>
        </w:tc>
        <w:tc>
          <w:tcPr>
            <w:tcW w:w="1701" w:type="dxa"/>
            <w:tcBorders>
              <w:top w:val="single" w:color="000000" w:sz="4" w:space="0"/>
              <w:bottom w:val="single" w:color="000000" w:sz="4" w:space="0"/>
              <w:right w:val="single" w:color="000000" w:sz="4" w:space="0"/>
            </w:tcBorders>
            <w:shd w:val="clear" w:color="auto" w:fill="auto"/>
            <w:vAlign w:val="center"/>
          </w:tcPr>
          <w:p>
            <w:pPr>
              <w:jc w:val="right"/>
              <w:rPr>
                <w:rFonts w:ascii="Arial Narrow" w:hAnsi="Arial Narrow" w:cs="Arial"/>
                <w:color w:val="000000"/>
                <w:sz w:val="24"/>
              </w:rPr>
            </w:pPr>
            <w:r>
              <w:rPr>
                <w:rFonts w:ascii="Arial Narrow" w:hAnsi="Arial Narrow" w:cs="Arial"/>
                <w:color w:val="000000"/>
              </w:rPr>
              <w:t>0.00</w:t>
            </w:r>
          </w:p>
        </w:tc>
        <w:tc>
          <w:tcPr>
            <w:tcW w:w="1985" w:type="dxa"/>
            <w:tcBorders>
              <w:top w:val="single" w:color="000000" w:sz="4" w:space="0"/>
              <w:bottom w:val="single" w:color="000000" w:sz="4" w:space="0"/>
              <w:right w:val="single" w:color="000000" w:sz="4" w:space="0"/>
            </w:tcBorders>
            <w:shd w:val="clear" w:color="auto" w:fill="auto"/>
            <w:vAlign w:val="center"/>
          </w:tcPr>
          <w:p>
            <w:pPr>
              <w:jc w:val="right"/>
              <w:rPr>
                <w:rFonts w:ascii="Arial Narrow" w:hAnsi="Arial Narrow" w:cs="Arial"/>
                <w:color w:val="000000"/>
                <w:sz w:val="24"/>
              </w:rPr>
            </w:pPr>
            <w:r>
              <w:rPr>
                <w:rFonts w:ascii="Arial Narrow" w:hAnsi="Arial Narrow" w:cs="Arial"/>
                <w:color w:val="000000"/>
              </w:rPr>
              <w:t>0.00</w:t>
            </w:r>
          </w:p>
        </w:tc>
        <w:tc>
          <w:tcPr>
            <w:tcW w:w="2086" w:type="dxa"/>
            <w:tcBorders>
              <w:top w:val="single" w:color="000000" w:sz="4" w:space="0"/>
              <w:bottom w:val="single" w:color="000000" w:sz="4" w:space="0"/>
              <w:right w:val="single" w:color="000000" w:sz="4" w:space="0"/>
            </w:tcBorders>
            <w:shd w:val="clear" w:color="auto" w:fill="auto"/>
            <w:vAlign w:val="center"/>
          </w:tcPr>
          <w:p>
            <w:pPr>
              <w:jc w:val="right"/>
              <w:rPr>
                <w:rFonts w:ascii="Arial Narrow" w:hAnsi="Arial Narrow" w:cs="Arial"/>
                <w:color w:val="000000"/>
                <w:sz w:val="24"/>
              </w:rPr>
            </w:pPr>
            <w:r>
              <w:rPr>
                <w:rFonts w:ascii="Arial Narrow" w:hAnsi="Arial Narrow" w:cs="Arial"/>
                <w:color w:val="000000"/>
              </w:rPr>
              <w:t>0.00</w:t>
            </w:r>
          </w:p>
        </w:tc>
      </w:tr>
      <w:tr>
        <w:tblPrEx>
          <w:tblCellMar>
            <w:top w:w="15" w:type="dxa"/>
            <w:left w:w="15" w:type="dxa"/>
            <w:bottom w:w="15" w:type="dxa"/>
            <w:right w:w="15" w:type="dxa"/>
          </w:tblCellMar>
        </w:tblPrEx>
        <w:trPr>
          <w:trHeight w:val="284" w:hRule="atLeast"/>
          <w:jc w:val="center"/>
        </w:trPr>
        <w:tc>
          <w:tcPr>
            <w:tcW w:w="319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图书、档案</w:t>
            </w:r>
          </w:p>
        </w:tc>
        <w:tc>
          <w:tcPr>
            <w:tcW w:w="1701" w:type="dxa"/>
            <w:tcBorders>
              <w:top w:val="single" w:color="000000" w:sz="4" w:space="0"/>
              <w:bottom w:val="single" w:color="000000" w:sz="4" w:space="0"/>
              <w:right w:val="single" w:color="000000" w:sz="4" w:space="0"/>
            </w:tcBorders>
            <w:shd w:val="clear" w:color="auto" w:fill="auto"/>
            <w:vAlign w:val="center"/>
          </w:tcPr>
          <w:p>
            <w:pPr>
              <w:jc w:val="right"/>
              <w:rPr>
                <w:rFonts w:ascii="Arial Narrow" w:hAnsi="Arial Narrow" w:cs="Arial"/>
                <w:color w:val="000000"/>
                <w:sz w:val="24"/>
              </w:rPr>
            </w:pPr>
            <w:r>
              <w:rPr>
                <w:rFonts w:ascii="Arial Narrow" w:hAnsi="Arial Narrow" w:cs="Arial"/>
                <w:color w:val="000000"/>
              </w:rPr>
              <w:t>0.00</w:t>
            </w:r>
          </w:p>
        </w:tc>
        <w:tc>
          <w:tcPr>
            <w:tcW w:w="1559" w:type="dxa"/>
            <w:tcBorders>
              <w:top w:val="single" w:color="000000" w:sz="4" w:space="0"/>
              <w:bottom w:val="single" w:color="000000" w:sz="4" w:space="0"/>
              <w:right w:val="single" w:color="000000" w:sz="4" w:space="0"/>
            </w:tcBorders>
            <w:shd w:val="clear" w:color="auto" w:fill="auto"/>
            <w:vAlign w:val="center"/>
          </w:tcPr>
          <w:p>
            <w:pPr>
              <w:jc w:val="right"/>
              <w:rPr>
                <w:rFonts w:ascii="Arial Narrow" w:hAnsi="Arial Narrow" w:cs="Arial"/>
                <w:color w:val="000000"/>
                <w:sz w:val="24"/>
              </w:rPr>
            </w:pPr>
            <w:r>
              <w:rPr>
                <w:rFonts w:ascii="Arial Narrow" w:hAnsi="Arial Narrow" w:cs="Arial"/>
                <w:color w:val="000000"/>
              </w:rPr>
              <w:t>　</w:t>
            </w:r>
          </w:p>
        </w:tc>
        <w:tc>
          <w:tcPr>
            <w:tcW w:w="1701" w:type="dxa"/>
            <w:tcBorders>
              <w:top w:val="single" w:color="000000" w:sz="4" w:space="0"/>
              <w:bottom w:val="single" w:color="000000" w:sz="4" w:space="0"/>
              <w:right w:val="single" w:color="000000" w:sz="4" w:space="0"/>
            </w:tcBorders>
            <w:shd w:val="clear" w:color="auto" w:fill="auto"/>
            <w:vAlign w:val="center"/>
          </w:tcPr>
          <w:p>
            <w:pPr>
              <w:jc w:val="right"/>
              <w:rPr>
                <w:rFonts w:ascii="Arial Narrow" w:hAnsi="Arial Narrow" w:cs="Arial"/>
                <w:color w:val="000000"/>
                <w:sz w:val="24"/>
              </w:rPr>
            </w:pPr>
            <w:r>
              <w:rPr>
                <w:rFonts w:ascii="Arial Narrow" w:hAnsi="Arial Narrow" w:cs="Arial"/>
                <w:color w:val="000000"/>
              </w:rPr>
              <w:t>0.00</w:t>
            </w:r>
          </w:p>
        </w:tc>
        <w:tc>
          <w:tcPr>
            <w:tcW w:w="1701" w:type="dxa"/>
            <w:tcBorders>
              <w:top w:val="single" w:color="000000" w:sz="4" w:space="0"/>
              <w:bottom w:val="single" w:color="000000" w:sz="4" w:space="0"/>
              <w:right w:val="single" w:color="000000" w:sz="4" w:space="0"/>
            </w:tcBorders>
            <w:shd w:val="clear" w:color="auto" w:fill="auto"/>
            <w:vAlign w:val="center"/>
          </w:tcPr>
          <w:p>
            <w:pPr>
              <w:jc w:val="right"/>
              <w:rPr>
                <w:rFonts w:ascii="Arial Narrow" w:hAnsi="Arial Narrow" w:cs="Arial"/>
                <w:color w:val="000000"/>
                <w:sz w:val="24"/>
              </w:rPr>
            </w:pPr>
            <w:r>
              <w:rPr>
                <w:rFonts w:ascii="Arial Narrow" w:hAnsi="Arial Narrow" w:cs="Arial"/>
                <w:color w:val="000000"/>
              </w:rPr>
              <w:t>0.00</w:t>
            </w:r>
          </w:p>
        </w:tc>
        <w:tc>
          <w:tcPr>
            <w:tcW w:w="1985" w:type="dxa"/>
            <w:tcBorders>
              <w:top w:val="single" w:color="000000" w:sz="4" w:space="0"/>
              <w:bottom w:val="single" w:color="000000" w:sz="4" w:space="0"/>
              <w:right w:val="single" w:color="000000" w:sz="4" w:space="0"/>
            </w:tcBorders>
            <w:shd w:val="clear" w:color="auto" w:fill="auto"/>
            <w:vAlign w:val="center"/>
          </w:tcPr>
          <w:p>
            <w:pPr>
              <w:jc w:val="right"/>
              <w:rPr>
                <w:rFonts w:ascii="Arial Narrow" w:hAnsi="Arial Narrow" w:cs="Arial"/>
                <w:color w:val="000000"/>
                <w:sz w:val="24"/>
              </w:rPr>
            </w:pPr>
            <w:r>
              <w:rPr>
                <w:rFonts w:ascii="Arial Narrow" w:hAnsi="Arial Narrow" w:cs="Arial"/>
                <w:color w:val="000000"/>
              </w:rPr>
              <w:t>0.00</w:t>
            </w:r>
          </w:p>
        </w:tc>
        <w:tc>
          <w:tcPr>
            <w:tcW w:w="2086" w:type="dxa"/>
            <w:tcBorders>
              <w:top w:val="single" w:color="000000" w:sz="4" w:space="0"/>
              <w:bottom w:val="single" w:color="000000" w:sz="4" w:space="0"/>
              <w:right w:val="single" w:color="000000" w:sz="4" w:space="0"/>
            </w:tcBorders>
            <w:shd w:val="clear" w:color="auto" w:fill="auto"/>
            <w:vAlign w:val="center"/>
          </w:tcPr>
          <w:p>
            <w:pPr>
              <w:jc w:val="right"/>
              <w:rPr>
                <w:rFonts w:ascii="Arial Narrow" w:hAnsi="Arial Narrow" w:cs="Arial"/>
                <w:color w:val="000000"/>
                <w:sz w:val="24"/>
              </w:rPr>
            </w:pPr>
            <w:r>
              <w:rPr>
                <w:rFonts w:ascii="Arial Narrow" w:hAnsi="Arial Narrow" w:cs="Arial"/>
                <w:color w:val="000000"/>
              </w:rPr>
              <w:t>0.00</w:t>
            </w:r>
          </w:p>
        </w:tc>
      </w:tr>
      <w:tr>
        <w:tblPrEx>
          <w:tblCellMar>
            <w:top w:w="15" w:type="dxa"/>
            <w:left w:w="15" w:type="dxa"/>
            <w:bottom w:w="15" w:type="dxa"/>
            <w:right w:w="15" w:type="dxa"/>
          </w:tblCellMar>
        </w:tblPrEx>
        <w:trPr>
          <w:trHeight w:val="284" w:hRule="atLeast"/>
          <w:jc w:val="center"/>
        </w:trPr>
        <w:tc>
          <w:tcPr>
            <w:tcW w:w="319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家具、用具、装具及动植物</w:t>
            </w:r>
          </w:p>
        </w:tc>
        <w:tc>
          <w:tcPr>
            <w:tcW w:w="1701" w:type="dxa"/>
            <w:tcBorders>
              <w:top w:val="single" w:color="000000" w:sz="4" w:space="0"/>
              <w:bottom w:val="single" w:color="000000" w:sz="4" w:space="0"/>
              <w:right w:val="single" w:color="000000" w:sz="4" w:space="0"/>
            </w:tcBorders>
            <w:shd w:val="clear" w:color="auto" w:fill="auto"/>
            <w:vAlign w:val="center"/>
          </w:tcPr>
          <w:p>
            <w:pPr>
              <w:jc w:val="right"/>
              <w:rPr>
                <w:rFonts w:ascii="Arial Narrow" w:hAnsi="Arial Narrow" w:cs="Arial"/>
                <w:color w:val="000000"/>
                <w:sz w:val="24"/>
              </w:rPr>
            </w:pPr>
            <w:r>
              <w:rPr>
                <w:rFonts w:ascii="Arial Narrow" w:hAnsi="Arial Narrow" w:cs="Arial"/>
                <w:color w:val="000000"/>
              </w:rPr>
              <w:t>174.88</w:t>
            </w:r>
          </w:p>
        </w:tc>
        <w:tc>
          <w:tcPr>
            <w:tcW w:w="1559" w:type="dxa"/>
            <w:tcBorders>
              <w:top w:val="single" w:color="000000" w:sz="4" w:space="0"/>
              <w:bottom w:val="single" w:color="000000" w:sz="4" w:space="0"/>
              <w:right w:val="single" w:color="000000" w:sz="4" w:space="0"/>
            </w:tcBorders>
            <w:shd w:val="clear" w:color="auto" w:fill="auto"/>
            <w:vAlign w:val="center"/>
          </w:tcPr>
          <w:p>
            <w:pPr>
              <w:jc w:val="right"/>
              <w:rPr>
                <w:rFonts w:ascii="Arial Narrow" w:hAnsi="Arial Narrow" w:cs="Arial"/>
                <w:color w:val="000000"/>
                <w:sz w:val="24"/>
              </w:rPr>
            </w:pPr>
            <w:r>
              <w:rPr>
                <w:rFonts w:ascii="Arial Narrow" w:hAnsi="Arial Narrow" w:cs="Arial"/>
                <w:color w:val="000000"/>
              </w:rPr>
              <w:t>　</w:t>
            </w:r>
          </w:p>
        </w:tc>
        <w:tc>
          <w:tcPr>
            <w:tcW w:w="1701" w:type="dxa"/>
            <w:tcBorders>
              <w:top w:val="single" w:color="000000" w:sz="4" w:space="0"/>
              <w:bottom w:val="single" w:color="000000" w:sz="4" w:space="0"/>
              <w:right w:val="single" w:color="000000" w:sz="4" w:space="0"/>
            </w:tcBorders>
            <w:shd w:val="clear" w:color="auto" w:fill="auto"/>
            <w:vAlign w:val="center"/>
          </w:tcPr>
          <w:p>
            <w:pPr>
              <w:jc w:val="right"/>
              <w:rPr>
                <w:rFonts w:ascii="Arial Narrow" w:hAnsi="Arial Narrow" w:cs="Arial"/>
                <w:color w:val="000000"/>
                <w:sz w:val="24"/>
              </w:rPr>
            </w:pPr>
            <w:r>
              <w:rPr>
                <w:rFonts w:ascii="Arial Narrow" w:hAnsi="Arial Narrow" w:cs="Arial"/>
                <w:color w:val="000000"/>
              </w:rPr>
              <w:t>174.88</w:t>
            </w:r>
          </w:p>
        </w:tc>
        <w:tc>
          <w:tcPr>
            <w:tcW w:w="1701" w:type="dxa"/>
            <w:tcBorders>
              <w:top w:val="single" w:color="000000" w:sz="4" w:space="0"/>
              <w:bottom w:val="single" w:color="000000" w:sz="4" w:space="0"/>
              <w:right w:val="single" w:color="000000" w:sz="4" w:space="0"/>
            </w:tcBorders>
            <w:shd w:val="clear" w:color="auto" w:fill="auto"/>
            <w:vAlign w:val="center"/>
          </w:tcPr>
          <w:p>
            <w:pPr>
              <w:jc w:val="right"/>
              <w:rPr>
                <w:rFonts w:ascii="Arial Narrow" w:hAnsi="Arial Narrow" w:cs="Arial"/>
                <w:color w:val="000000"/>
                <w:sz w:val="24"/>
              </w:rPr>
            </w:pPr>
            <w:r>
              <w:rPr>
                <w:rFonts w:ascii="Arial Narrow" w:hAnsi="Arial Narrow" w:cs="Arial"/>
                <w:color w:val="000000"/>
              </w:rPr>
              <w:t>193.78</w:t>
            </w:r>
          </w:p>
        </w:tc>
        <w:tc>
          <w:tcPr>
            <w:tcW w:w="1985" w:type="dxa"/>
            <w:tcBorders>
              <w:top w:val="single" w:color="000000" w:sz="4" w:space="0"/>
              <w:bottom w:val="single" w:color="000000" w:sz="4" w:space="0"/>
              <w:right w:val="single" w:color="000000" w:sz="4" w:space="0"/>
            </w:tcBorders>
            <w:shd w:val="clear" w:color="auto" w:fill="auto"/>
            <w:vAlign w:val="center"/>
          </w:tcPr>
          <w:p>
            <w:pPr>
              <w:jc w:val="right"/>
              <w:rPr>
                <w:rFonts w:ascii="Arial Narrow" w:hAnsi="Arial Narrow" w:cs="Arial"/>
                <w:color w:val="000000"/>
                <w:sz w:val="24"/>
              </w:rPr>
            </w:pPr>
            <w:r>
              <w:rPr>
                <w:rFonts w:ascii="Arial Narrow" w:hAnsi="Arial Narrow" w:cs="Arial"/>
                <w:color w:val="000000"/>
              </w:rPr>
              <w:t>78.86</w:t>
            </w:r>
          </w:p>
        </w:tc>
        <w:tc>
          <w:tcPr>
            <w:tcW w:w="2086" w:type="dxa"/>
            <w:tcBorders>
              <w:top w:val="single" w:color="000000" w:sz="4" w:space="0"/>
              <w:bottom w:val="single" w:color="000000" w:sz="4" w:space="0"/>
              <w:right w:val="single" w:color="000000" w:sz="4" w:space="0"/>
            </w:tcBorders>
            <w:shd w:val="clear" w:color="auto" w:fill="auto"/>
            <w:vAlign w:val="center"/>
          </w:tcPr>
          <w:p>
            <w:pPr>
              <w:jc w:val="right"/>
              <w:rPr>
                <w:rFonts w:ascii="Arial Narrow" w:hAnsi="Arial Narrow" w:cs="Arial"/>
                <w:color w:val="000000"/>
                <w:sz w:val="24"/>
              </w:rPr>
            </w:pPr>
            <w:r>
              <w:rPr>
                <w:rFonts w:ascii="Arial Narrow" w:hAnsi="Arial Narrow" w:cs="Arial"/>
                <w:color w:val="000000"/>
              </w:rPr>
              <w:t>114.92</w:t>
            </w:r>
          </w:p>
        </w:tc>
      </w:tr>
    </w:tbl>
    <w:p>
      <w:pPr>
        <w:adjustRightInd w:val="0"/>
        <w:snapToGrid w:val="0"/>
        <w:spacing w:after="0" w:line="580" w:lineRule="exact"/>
        <w:rPr>
          <w:rFonts w:ascii="仿宋_GB2312" w:eastAsia="仿宋_GB2312" w:cs="DengXian-Regular"/>
          <w:sz w:val="32"/>
          <w:szCs w:val="32"/>
        </w:rPr>
        <w:sectPr>
          <w:pgSz w:w="16838" w:h="11906" w:orient="landscape"/>
          <w:pgMar w:top="2098" w:right="1474" w:bottom="1588" w:left="1588" w:header="851" w:footer="992" w:gutter="0"/>
          <w:cols w:space="0" w:num="1"/>
          <w:docGrid w:linePitch="312" w:charSpace="0"/>
        </w:sectPr>
      </w:pP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（四）其他需要说明的情况</w:t>
      </w:r>
    </w:p>
    <w:p>
      <w:pPr>
        <w:spacing w:after="0" w:line="560" w:lineRule="exact"/>
        <w:ind w:firstLine="640" w:firstLineChars="200"/>
        <w:rPr>
          <w:rFonts w:hint="eastAsia" w:ascii="仿宋_GB2312" w:hAnsi="Times New Roman" w:eastAsia="仿宋_GB2312" w:cs="DengXian-Regular"/>
          <w:kern w:val="2"/>
          <w:sz w:val="32"/>
          <w:szCs w:val="32"/>
          <w:lang w:val="en-US" w:eastAsia="zh-CN" w:bidi="ar-SA"/>
        </w:rPr>
      </w:pPr>
      <w:r>
        <w:rPr>
          <w:rFonts w:hint="eastAsia" w:ascii="仿宋_GB2312" w:hAnsi="Times New Roman" w:eastAsia="仿宋_GB2312" w:cs="DengXian-Regular"/>
          <w:kern w:val="2"/>
          <w:sz w:val="32"/>
          <w:szCs w:val="32"/>
          <w:lang w:val="en-US" w:eastAsia="zh-CN" w:bidi="ar-SA"/>
        </w:rPr>
        <mc:AlternateContent>
          <mc:Choice Requires="wpg">
            <w:drawing>
              <wp:anchor distT="0" distB="0" distL="114300" distR="114300" simplePos="0" relativeHeight="251679744" behindDoc="0" locked="1" layoutInCell="1" allowOverlap="1">
                <wp:simplePos x="0" y="0"/>
                <wp:positionH relativeFrom="page">
                  <wp:posOffset>3810</wp:posOffset>
                </wp:positionH>
                <wp:positionV relativeFrom="page">
                  <wp:posOffset>298450</wp:posOffset>
                </wp:positionV>
                <wp:extent cx="3833495" cy="558165"/>
                <wp:effectExtent l="3810" t="3175" r="1270" b="19685"/>
                <wp:wrapNone/>
                <wp:docPr id="14" name="Group 137"/>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15" name="1074"/>
                        <wps:cNvSpPr>
                          <a:spLocks noChangeArrowheads="1"/>
                        </wps:cNvSpPr>
                        <wps:spPr bwMode="auto">
                          <a:xfrm>
                            <a:off x="4551" y="52615"/>
                            <a:ext cx="8546" cy="1175"/>
                          </a:xfrm>
                          <a:prstGeom prst="rect">
                            <a:avLst/>
                          </a:prstGeom>
                          <a:solidFill>
                            <a:srgbClr val="D8D8D8"/>
                          </a:solidFill>
                          <a:ln>
                            <a:noFill/>
                          </a:ln>
                        </wps:spPr>
                        <wps:bodyPr rot="0" vert="horz" wrap="square" lIns="91440" tIns="45720" rIns="91440" bIns="45720" anchor="t" anchorCtr="0" upright="1">
                          <a:noAutofit/>
                        </wps:bodyPr>
                      </wps:wsp>
                      <wps:wsp>
                        <wps:cNvPr id="17" name="1075"/>
                        <wps:cNvSpPr>
                          <a:spLocks noChangeArrowheads="1"/>
                        </wps:cNvSpPr>
                        <wps:spPr bwMode="auto">
                          <a:xfrm>
                            <a:off x="4577" y="52890"/>
                            <a:ext cx="8324" cy="1123"/>
                          </a:xfrm>
                          <a:prstGeom prst="rect">
                            <a:avLst/>
                          </a:prstGeom>
                          <a:solidFill>
                            <a:srgbClr val="AD002D"/>
                          </a:solidFill>
                          <a:ln w="25400">
                            <a:solidFill>
                              <a:srgbClr val="AF7621"/>
                            </a:solidFill>
                            <a:miter lim="800000"/>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wps:txbx>
                        <wps:bodyPr rot="0" vert="horz" wrap="square" lIns="91440" tIns="45720" rIns="91440" bIns="45720" anchor="ctr" anchorCtr="0" upright="1">
                          <a:noAutofit/>
                        </wps:bodyPr>
                      </wps:wsp>
                    </wpg:wgp>
                  </a:graphicData>
                </a:graphic>
              </wp:anchor>
            </w:drawing>
          </mc:Choice>
          <mc:Fallback>
            <w:pict>
              <v:group id="Group 137" o:spid="_x0000_s1026" o:spt="203" style="position:absolute;left:0pt;margin-left:0.3pt;margin-top:23.5pt;height:43.95pt;width:301.85pt;mso-position-horizontal-relative:page;mso-position-vertical-relative:page;z-index:251679744;mso-width-relative:page;mso-height-relative:page;" coordorigin="4551,52615" coordsize="8546,1398" o:gfxdata="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BjyGy81wAAAAcBAAAPAAAAAAAAAAEAIAAAACIAAABkcnMvZG93&#10;bnJldi54bWxQSwECFAAUAAAACACHTuJAEbYI4uUCAAD2BwAADgAAAAAAAAABACAAAAAmAQAAZHJz&#10;L2Uyb0RvYy54bWxQSwUGAAAAAAYABgBZAQAAfQYAAAAA&#10;">
                <o:lock v:ext="edit" aspectratio="f"/>
                <v:rect id="1074" o:spid="_x0000_s1026" o:spt="1" style="position:absolute;left:4551;top:52615;height:1175;width:8546;" fillcolor="#D8D8D8" filled="t" stroked="f" coordsize="21600,21600" o:gfxdata="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HWu8AAAA&#10;2wAAAA8AAAAAAAAAAQAgAAAAIgAAAGRycy9kb3ducmV2LnhtbFBLAQIUABQAAAAIAIdO4kAzLwWe&#10;OwAAADkAAAAQAAAAAAAAAAEAIAAAAAsBAABkcnMvc2hhcGV4bWwueG1sUEsFBgAAAAAGAAYAWwEA&#10;ALUDAAAAAA==&#10;">
                  <v:fill on="t" focussize="0,0"/>
                  <v:stroke on="f"/>
                  <v:imagedata o:title=""/>
                  <o:lock v:ext="edit" aspectratio="f"/>
                </v:rect>
                <v:rect id="1075" o:spid="_x0000_s1026" o:spt="1" style="position:absolute;left:4577;top:52890;height:1123;width:8324;v-text-anchor:middle;" fillcolor="#AD002D" filled="t" stroked="t" coordsize="21600,21600" o:gfxdata="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run5ugAAANsA&#10;AAAPAAAAAAAAAAEAIAAAACIAAABkcnMvZG93bnJldi54bWxQSwECFAAUAAAACACHTuJAMy8FnjsA&#10;AAA5AAAAEAAAAAAAAAABACAAAAAJAQAAZHJzL3NoYXBleG1sLnhtbFBLBQYAAAAABgAGAFsBAACz&#10;AwAAAAA=&#10;">
                  <v:fill on="t" focussize="0,0"/>
                  <v:stroke weight="2pt" color="#AF7621" miterlimit="8" joinstyle="miter"/>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mc:Fallback>
        </mc:AlternateContent>
      </w:r>
      <w:r>
        <w:rPr>
          <w:rFonts w:hint="eastAsia" w:ascii="仿宋_GB2312" w:hAnsi="Times New Roman" w:eastAsia="仿宋_GB2312" w:cs="DengXian-Regular"/>
          <w:kern w:val="2"/>
          <w:sz w:val="32"/>
          <w:szCs w:val="32"/>
          <w:lang w:val="en-US" w:eastAsia="zh-CN" w:bidi="ar-SA"/>
        </w:rPr>
        <w:t>1、本部门</w:t>
      </w:r>
      <w:r>
        <w:rPr>
          <w:rFonts w:hint="eastAsia" w:ascii="仿宋_GB2312" w:eastAsia="仿宋_GB2312" w:cs="DengXian-Regular"/>
          <w:kern w:val="2"/>
          <w:sz w:val="32"/>
          <w:szCs w:val="32"/>
          <w:lang w:val="en-US" w:eastAsia="zh-CN" w:bidi="ar-SA"/>
        </w:rPr>
        <w:t>2018年度</w:t>
      </w:r>
      <w:r>
        <w:rPr>
          <w:rFonts w:hint="eastAsia" w:ascii="仿宋_GB2312" w:hAnsi="Times New Roman" w:eastAsia="仿宋_GB2312" w:cs="DengXian-Regular"/>
          <w:kern w:val="2"/>
          <w:sz w:val="32"/>
          <w:szCs w:val="32"/>
          <w:lang w:val="en-US" w:eastAsia="zh-CN" w:bidi="ar-SA"/>
        </w:rPr>
        <w:t>无部门国有资本经营预算财政拨款支出决算表，因此相关表格数据为零。</w:t>
      </w:r>
    </w:p>
    <w:p>
      <w:pPr>
        <w:spacing w:after="0" w:line="560" w:lineRule="exact"/>
        <w:ind w:firstLine="640" w:firstLineChars="200"/>
        <w:rPr>
          <w:rFonts w:hint="eastAsia" w:ascii="仿宋_GB2312" w:hAnsi="Times New Roman" w:eastAsia="仿宋_GB2312" w:cs="DengXian-Regular"/>
          <w:kern w:val="2"/>
          <w:sz w:val="32"/>
          <w:szCs w:val="32"/>
          <w:lang w:val="en-US" w:eastAsia="zh-CN" w:bidi="ar-SA"/>
        </w:rPr>
      </w:pPr>
      <w:r>
        <w:rPr>
          <w:rFonts w:hint="eastAsia" w:ascii="仿宋_GB2312" w:hAnsi="Times New Roman" w:eastAsia="仿宋_GB2312" w:cs="DengXian-Regular"/>
          <w:kern w:val="2"/>
          <w:sz w:val="32"/>
          <w:szCs w:val="32"/>
          <w:lang w:val="en-US" w:eastAsia="zh-CN" w:bidi="ar-SA"/>
        </w:rPr>
        <w:t>2、由于决算公开表格中金额数值应当保留两位小数，公开数据为四舍五入计算结果，个别数据合计项与分项之和存在小数点后差额，特此说明。</w:t>
      </w:r>
    </w:p>
    <w:p>
      <w:pPr>
        <w:spacing w:after="0" w:line="560" w:lineRule="exact"/>
        <w:rPr>
          <w:rFonts w:hint="eastAsia" w:ascii="仿宋_GB2312" w:hAnsi="Times New Roman" w:eastAsia="仿宋_GB2312" w:cs="DengXian-Regular"/>
          <w:kern w:val="2"/>
          <w:sz w:val="32"/>
          <w:szCs w:val="32"/>
          <w:lang w:val="en-US" w:eastAsia="zh-CN" w:bidi="ar-SA"/>
        </w:rPr>
        <w:sectPr>
          <w:pgSz w:w="11906" w:h="16838"/>
          <w:pgMar w:top="1588" w:right="2098" w:bottom="1474" w:left="1588" w:header="851" w:footer="992" w:gutter="0"/>
          <w:cols w:space="0" w:num="1"/>
          <w:docGrid w:linePitch="312" w:charSpace="0"/>
        </w:sectPr>
      </w:pPr>
    </w:p>
    <w:p>
      <w:pPr>
        <w:rPr>
          <w:rFonts w:ascii="宋体" w:hAnsi="宋体" w:cs="ArialUnicodeMS"/>
          <w:color w:val="000000"/>
          <w:kern w:val="0"/>
        </w:rPr>
        <w:sectPr>
          <w:pgSz w:w="11906" w:h="16838"/>
          <w:pgMar w:top="1588" w:right="2098" w:bottom="1474" w:left="1588" w:header="851" w:footer="992" w:gutter="0"/>
          <w:cols w:space="0" w:num="1"/>
          <w:docGrid w:linePitch="312" w:charSpace="0"/>
        </w:sectPr>
      </w:pPr>
      <w:r>
        <w:rPr>
          <w:rFonts w:hint="eastAsia" w:ascii="宋体" w:hAnsi="宋体" w:cs="ArialUnicodeMS"/>
          <w:color w:val="000000"/>
          <w:kern w:val="0"/>
        </w:rPr>
        <w:drawing>
          <wp:anchor distT="0" distB="0" distL="0" distR="0" simplePos="0" relativeHeight="251663360" behindDoc="1" locked="0" layoutInCell="1" allowOverlap="1">
            <wp:simplePos x="0" y="0"/>
            <wp:positionH relativeFrom="column">
              <wp:posOffset>-1009015</wp:posOffset>
            </wp:positionH>
            <wp:positionV relativeFrom="paragraph">
              <wp:posOffset>-1337945</wp:posOffset>
            </wp:positionV>
            <wp:extent cx="7550150" cy="10680065"/>
            <wp:effectExtent l="0" t="0" r="12700" b="6985"/>
            <wp:wrapNone/>
            <wp:docPr id="1115" name="图片 21"/>
            <wp:cNvGraphicFramePr/>
            <a:graphic xmlns:a="http://schemas.openxmlformats.org/drawingml/2006/main">
              <a:graphicData uri="http://schemas.openxmlformats.org/drawingml/2006/picture">
                <pic:pic xmlns:pic="http://schemas.openxmlformats.org/drawingml/2006/picture">
                  <pic:nvPicPr>
                    <pic:cNvPr id="1115" name="图片 21"/>
                    <pic:cNvPicPr/>
                  </pic:nvPicPr>
                  <pic:blipFill>
                    <a:blip r:embed="rId12" cstate="print"/>
                    <a:srcRect/>
                    <a:stretch>
                      <a:fillRect/>
                    </a:stretch>
                  </pic:blipFill>
                  <pic:spPr>
                    <a:xfrm>
                      <a:off x="0" y="0"/>
                      <a:ext cx="7550150" cy="10680064"/>
                    </a:xfrm>
                    <a:prstGeom prst="rect">
                      <a:avLst/>
                    </a:prstGeom>
                  </pic:spPr>
                </pic:pic>
              </a:graphicData>
            </a:graphic>
          </wp:anchor>
        </w:drawing>
      </w:r>
      <w:r>
        <w:rPr>
          <w:sz w:val="72"/>
        </w:rPr>
        <mc:AlternateContent>
          <mc:Choice Requires="wps">
            <w:drawing>
              <wp:anchor distT="0" distB="0" distL="114300" distR="114300" simplePos="0" relativeHeight="251668480" behindDoc="0" locked="0" layoutInCell="1" allowOverlap="1">
                <wp:simplePos x="0" y="0"/>
                <wp:positionH relativeFrom="column">
                  <wp:posOffset>-999490</wp:posOffset>
                </wp:positionH>
                <wp:positionV relativeFrom="paragraph">
                  <wp:posOffset>2956560</wp:posOffset>
                </wp:positionV>
                <wp:extent cx="7571740" cy="2020570"/>
                <wp:effectExtent l="0" t="2540" r="1270" b="0"/>
                <wp:wrapNone/>
                <wp:docPr id="13" name="1116"/>
                <wp:cNvGraphicFramePr/>
                <a:graphic xmlns:a="http://schemas.openxmlformats.org/drawingml/2006/main">
                  <a:graphicData uri="http://schemas.microsoft.com/office/word/2010/wordprocessingShape">
                    <wps:wsp>
                      <wps:cNvSpPr>
                        <a:spLocks noChangeArrowheads="1"/>
                      </wps:cNvSpPr>
                      <wps:spPr bwMode="auto">
                        <a:xfrm>
                          <a:off x="0" y="0"/>
                          <a:ext cx="7571740" cy="2020570"/>
                        </a:xfrm>
                        <a:prstGeom prst="rect">
                          <a:avLst/>
                        </a:prstGeom>
                        <a:noFill/>
                        <a:ln>
                          <a:noFill/>
                        </a:ln>
                      </wps:spPr>
                      <wps:txbx>
                        <w:txbxContent>
                          <w:p>
                            <w:pPr>
                              <w:widowControl/>
                              <w:spacing w:line="1200" w:lineRule="exact"/>
                              <w:jc w:val="center"/>
                              <w:rPr>
                                <w:rFonts w:ascii="黑体" w:hAnsi="宋体" w:eastAsia="黑体"/>
                                <w:color w:val="FDEFBE"/>
                                <w:sz w:val="96"/>
                                <w:szCs w:val="96"/>
                              </w:rPr>
                            </w:pPr>
                            <w:r>
                              <w:rPr>
                                <w:rFonts w:hint="eastAsia" w:ascii="黑体" w:hAnsi="宋体" w:eastAsia="黑体"/>
                                <w:color w:val="FDEFBE"/>
                                <w:sz w:val="96"/>
                                <w:szCs w:val="96"/>
                              </w:rPr>
                              <w:t>第四部分</w:t>
                            </w:r>
                          </w:p>
                          <w:p>
                            <w:pPr>
                              <w:widowControl/>
                              <w:spacing w:line="1200" w:lineRule="exact"/>
                              <w:jc w:val="center"/>
                              <w:rPr>
                                <w:color w:val="FDEFBE"/>
                                <w:sz w:val="96"/>
                                <w:szCs w:val="96"/>
                              </w:rPr>
                            </w:pPr>
                            <w:r>
                              <w:rPr>
                                <w:rFonts w:hint="eastAsia" w:ascii="黑体" w:hAnsi="宋体" w:eastAsia="黑体"/>
                                <w:color w:val="FDEFBE"/>
                                <w:sz w:val="96"/>
                                <w:szCs w:val="96"/>
                              </w:rPr>
                              <w:t>相关名词解释</w:t>
                            </w:r>
                          </w:p>
                        </w:txbxContent>
                      </wps:txbx>
                      <wps:bodyPr rot="0" vert="horz" wrap="square" lIns="91440" tIns="45720" rIns="91440" bIns="45720" anchor="t" anchorCtr="0" upright="1">
                        <a:noAutofit/>
                      </wps:bodyPr>
                    </wps:wsp>
                  </a:graphicData>
                </a:graphic>
              </wp:anchor>
            </w:drawing>
          </mc:Choice>
          <mc:Fallback>
            <w:pict>
              <v:rect id="1116" o:spid="_x0000_s1026" o:spt="1" style="position:absolute;left:0pt;margin-left:-78.7pt;margin-top:232.8pt;height:159.1pt;width:596.2pt;z-index:251668480;mso-width-relative:page;mso-height-relative:page;" filled="f" stroked="f" coordsize="21600,21600" o:gfxdata="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&#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85tcO3gAAAA0BAAAPAAAAAAAAAAEAIAAAACIAAABk&#10;cnMvZG93bnJldi54bWxQSwECFAAUAAAACACHTuJATiJghAACAAAGBAAADgAAAAAAAAABACAAAAAt&#10;AQAAZHJzL2Uyb0RvYy54bWxQSwUGAAAAAAYABgBZAQAAnwUAAAAA&#10;">
                <v:fill on="f" focussize="0,0"/>
                <v:stroke on="f"/>
                <v:imagedata o:title=""/>
                <o:lock v:ext="edit" aspectratio="f"/>
                <v:textbox>
                  <w:txbxContent>
                    <w:p>
                      <w:pPr>
                        <w:widowControl/>
                        <w:spacing w:line="1200" w:lineRule="exact"/>
                        <w:jc w:val="center"/>
                        <w:rPr>
                          <w:rFonts w:ascii="黑体" w:hAnsi="宋体" w:eastAsia="黑体"/>
                          <w:color w:val="FDEFBE"/>
                          <w:sz w:val="96"/>
                          <w:szCs w:val="96"/>
                        </w:rPr>
                      </w:pPr>
                      <w:r>
                        <w:rPr>
                          <w:rFonts w:hint="eastAsia" w:ascii="黑体" w:hAnsi="宋体" w:eastAsia="黑体"/>
                          <w:color w:val="FDEFBE"/>
                          <w:sz w:val="96"/>
                          <w:szCs w:val="96"/>
                        </w:rPr>
                        <w:t>第四部分</w:t>
                      </w:r>
                    </w:p>
                    <w:p>
                      <w:pPr>
                        <w:widowControl/>
                        <w:spacing w:line="1200" w:lineRule="exact"/>
                        <w:jc w:val="center"/>
                        <w:rPr>
                          <w:color w:val="FDEFBE"/>
                          <w:sz w:val="96"/>
                          <w:szCs w:val="96"/>
                        </w:rPr>
                      </w:pPr>
                      <w:r>
                        <w:rPr>
                          <w:rFonts w:hint="eastAsia" w:ascii="黑体" w:hAnsi="宋体" w:eastAsia="黑体"/>
                          <w:color w:val="FDEFBE"/>
                          <w:sz w:val="96"/>
                          <w:szCs w:val="96"/>
                        </w:rPr>
                        <w:t>相关名词解释</w:t>
                      </w:r>
                    </w:p>
                  </w:txbxContent>
                </v:textbox>
              </v:rect>
            </w:pict>
          </mc:Fallback>
        </mc:AlternateContent>
      </w:r>
    </w:p>
    <w:p>
      <w:pPr>
        <w:widowControl/>
        <w:spacing w:after="0" w:line="560" w:lineRule="exact"/>
        <w:ind w:firstLine="643" w:firstLineChars="200"/>
        <w:rPr>
          <w:rFonts w:ascii="仿宋_GB2312" w:hAnsi="宋体" w:eastAsia="仿宋_GB2312"/>
          <w:color w:val="000000"/>
          <w:kern w:val="0"/>
          <w:sz w:val="32"/>
          <w:szCs w:val="32"/>
        </w:rPr>
      </w:pPr>
      <w:r>
        <w:rPr>
          <w:rFonts w:ascii="仿宋_GB2312" w:hAnsi="宋体" w:eastAsia="仿宋_GB2312"/>
          <w:b/>
          <w:bCs/>
          <w:color w:val="000000"/>
          <w:kern w:val="0"/>
          <w:sz w:val="32"/>
          <w:szCs w:val="32"/>
        </w:rPr>
        <mc:AlternateContent>
          <mc:Choice Requires="wpg">
            <w:drawing>
              <wp:anchor distT="0" distB="0" distL="114300" distR="114300" simplePos="0" relativeHeight="251680768" behindDoc="0" locked="1" layoutInCell="1" allowOverlap="1">
                <wp:simplePos x="0" y="0"/>
                <wp:positionH relativeFrom="column">
                  <wp:posOffset>-998855</wp:posOffset>
                </wp:positionH>
                <wp:positionV relativeFrom="page">
                  <wp:posOffset>339090</wp:posOffset>
                </wp:positionV>
                <wp:extent cx="3363595" cy="558165"/>
                <wp:effectExtent l="9525" t="0" r="0" b="17145"/>
                <wp:wrapNone/>
                <wp:docPr id="9" name="1117"/>
                <wp:cNvGraphicFramePr/>
                <a:graphic xmlns:a="http://schemas.openxmlformats.org/drawingml/2006/main">
                  <a:graphicData uri="http://schemas.microsoft.com/office/word/2010/wordprocessingGroup">
                    <wpg:wgp>
                      <wpg:cNvGrpSpPr/>
                      <wpg:grpSpPr>
                        <a:xfrm>
                          <a:off x="0" y="0"/>
                          <a:ext cx="3363595" cy="558165"/>
                          <a:chOff x="4551" y="52615"/>
                          <a:chExt cx="8546" cy="1398"/>
                        </a:xfrm>
                      </wpg:grpSpPr>
                      <wps:wsp>
                        <wps:cNvPr id="10" name="1118"/>
                        <wps:cNvSpPr>
                          <a:spLocks noChangeArrowheads="1"/>
                        </wps:cNvSpPr>
                        <wps:spPr bwMode="auto">
                          <a:xfrm>
                            <a:off x="4551" y="52615"/>
                            <a:ext cx="8546" cy="1175"/>
                          </a:xfrm>
                          <a:prstGeom prst="rect">
                            <a:avLst/>
                          </a:prstGeom>
                          <a:solidFill>
                            <a:srgbClr val="D8D8D8"/>
                          </a:solidFill>
                          <a:ln>
                            <a:noFill/>
                          </a:ln>
                        </wps:spPr>
                        <wps:bodyPr rot="0" vert="horz" wrap="square" lIns="91440" tIns="45720" rIns="91440" bIns="45720" anchor="t" anchorCtr="0" upright="1">
                          <a:noAutofit/>
                        </wps:bodyPr>
                      </wps:wsp>
                      <wps:wsp>
                        <wps:cNvPr id="11" name="1119"/>
                        <wps:cNvSpPr>
                          <a:spLocks noChangeArrowheads="1"/>
                        </wps:cNvSpPr>
                        <wps:spPr bwMode="auto">
                          <a:xfrm>
                            <a:off x="4577" y="52890"/>
                            <a:ext cx="8324" cy="1123"/>
                          </a:xfrm>
                          <a:prstGeom prst="rect">
                            <a:avLst/>
                          </a:prstGeom>
                          <a:solidFill>
                            <a:srgbClr val="AD002D"/>
                          </a:solidFill>
                          <a:ln w="25400">
                            <a:solidFill>
                              <a:srgbClr val="AF7621"/>
                            </a:solidFill>
                            <a:miter lim="800000"/>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2018年度部门决算☞名词解释</w:t>
                              </w:r>
                            </w:p>
                            <w:p>
                              <w:pPr>
                                <w:jc w:val="center"/>
                              </w:pPr>
                            </w:p>
                          </w:txbxContent>
                        </wps:txbx>
                        <wps:bodyPr rot="0" vert="horz" wrap="square" lIns="91440" tIns="45720" rIns="91440" bIns="45720" anchor="ctr" anchorCtr="0" upright="1">
                          <a:noAutofit/>
                        </wps:bodyPr>
                      </wps:wsp>
                    </wpg:wgp>
                  </a:graphicData>
                </a:graphic>
              </wp:anchor>
            </w:drawing>
          </mc:Choice>
          <mc:Fallback>
            <w:pict>
              <v:group id="1117" o:spid="_x0000_s1026" o:spt="203" style="position:absolute;left:0pt;margin-left:-78.65pt;margin-top:26.7pt;height:43.95pt;width:264.85pt;mso-position-vertical-relative:page;z-index:251680768;mso-width-relative:page;mso-height-relative:page;" coordorigin="4551,52615" coordsize="8546,1398" o:gfxdata="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">
                <o:lock v:ext="edit" aspectratio="f"/>
                <v:rect id="1118" o:spid="_x0000_s1026" o:spt="1" style="position:absolute;left:4551;top:52615;height:1175;width:8546;" fillcolor="#D8D8D8" filled="t" stroked="f" coordsize="21600,21600" o:gfxdata="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6e+874A&#10;AADbAAAADwAAAAAAAAABACAAAAAiAAAAZHJzL2Rvd25yZXYueG1sUEsBAhQAFAAAAAgAh07iQDMv&#10;BZ47AAAAOQAAABAAAAAAAAAAAQAgAAAADQEAAGRycy9zaGFwZXhtbC54bWxQSwUGAAAAAAYABgBb&#10;AQAAtwMAAAAA&#10;">
                  <v:fill on="t" focussize="0,0"/>
                  <v:stroke on="f"/>
                  <v:imagedata o:title=""/>
                  <o:lock v:ext="edit" aspectratio="f"/>
                </v:rect>
                <v:rect id="1119" o:spid="_x0000_s1026" o:spt="1" style="position:absolute;left:4577;top:52890;height:1123;width:8324;v-text-anchor:middle;" fillcolor="#AD002D" filled="t" stroked="t" coordsize="21600,21600" o:gfxdata="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YL1Ba5AAAA2wAA&#10;AA8AAAAAAAAAAQAgAAAAIgAAAGRycy9kb3ducmV2LnhtbFBLAQIUABQAAAAIAIdO4kAzLwWeOwAA&#10;ADkAAAAQAAAAAAAAAAEAIAAAAAgBAABkcnMvc2hhcGV4bWwueG1sUEsFBgAAAAAGAAYAWwEAALID&#10;AAAAAA==&#10;">
                  <v:fill on="t" focussize="0,0"/>
                  <v:stroke weight="2pt" color="#AF7621" miterlimit="8" joinstyle="miter"/>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2018年度部门决算☞名词解释</w:t>
                        </w:r>
                      </w:p>
                      <w:p>
                        <w:pPr>
                          <w:jc w:val="center"/>
                        </w:pPr>
                      </w:p>
                    </w:txbxContent>
                  </v:textbox>
                </v:rect>
                <w10:anchorlock/>
              </v:group>
            </w:pict>
          </mc:Fallback>
        </mc:AlternateContent>
      </w:r>
      <w:r>
        <w:rPr>
          <w:rFonts w:hint="eastAsia" w:ascii="仿宋_GB2312" w:hAnsi="宋体" w:eastAsia="仿宋_GB2312"/>
          <w:b/>
          <w:bCs/>
          <w:color w:val="000000"/>
          <w:kern w:val="0"/>
          <w:sz w:val="32"/>
          <w:szCs w:val="32"/>
        </w:rPr>
        <w:t>（一）财政拨款收入：</w:t>
      </w:r>
      <w:r>
        <w:rPr>
          <w:rFonts w:hint="eastAsia" w:ascii="仿宋_GB2312" w:hAnsi="宋体" w:eastAsia="仿宋_GB2312"/>
          <w:color w:val="000000"/>
          <w:kern w:val="0"/>
          <w:sz w:val="32"/>
          <w:szCs w:val="32"/>
        </w:rPr>
        <w:t>本年度从本级财政部门取得的财政拨款，包括一般公共预算财政拨款和政府性基金预算财政拨款。</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（二）事业收入：</w:t>
      </w:r>
      <w:r>
        <w:rPr>
          <w:rFonts w:hint="eastAsia" w:ascii="仿宋_GB2312" w:hAnsi="宋体" w:eastAsia="仿宋_GB2312"/>
          <w:color w:val="000000"/>
          <w:kern w:val="0"/>
          <w:sz w:val="32"/>
          <w:szCs w:val="32"/>
        </w:rPr>
        <w:t>指事业单位开展专业业务活动及辅助活动所取得的收入。</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（三）其他收入：</w:t>
      </w:r>
      <w:r>
        <w:rPr>
          <w:rFonts w:hint="eastAsia" w:ascii="仿宋_GB2312" w:hAnsi="宋体" w:eastAsia="仿宋_GB2312"/>
          <w:color w:val="000000"/>
          <w:kern w:val="0"/>
          <w:sz w:val="32"/>
          <w:szCs w:val="32"/>
        </w:rPr>
        <w:t>指除上述“财政拨款收入”、“事业收入”、“经营收入”等以外的收入。</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（四）用事业基金弥补收支差额：</w:t>
      </w:r>
      <w:r>
        <w:rPr>
          <w:rFonts w:hint="eastAsia" w:ascii="仿宋_GB2312" w:hAnsi="宋体" w:eastAsia="仿宋_GB2312"/>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（五）年初结转和结余：</w:t>
      </w:r>
      <w:r>
        <w:rPr>
          <w:rFonts w:hint="eastAsia" w:ascii="仿宋_GB2312" w:hAnsi="宋体" w:eastAsia="仿宋_GB2312"/>
          <w:color w:val="000000"/>
          <w:kern w:val="0"/>
          <w:sz w:val="32"/>
          <w:szCs w:val="32"/>
        </w:rPr>
        <w:t>指以前年度尚未完成、结转到本年仍按原规定用途继续使用的资金，或项目已完成等产生的结余资金。</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（六）结余分配：</w:t>
      </w:r>
      <w:r>
        <w:rPr>
          <w:rFonts w:hint="eastAsia" w:ascii="仿宋_GB2312" w:hAnsi="宋体" w:eastAsia="仿宋_GB2312"/>
          <w:color w:val="000000"/>
          <w:kern w:val="0"/>
          <w:sz w:val="32"/>
          <w:szCs w:val="32"/>
        </w:rPr>
        <w:t>指事业单位按照事业单位会计制度的规定从非财政补助结余中分配的事业基金和职工福利基金等。</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（七）年末结转和结余：</w:t>
      </w:r>
      <w:r>
        <w:rPr>
          <w:rFonts w:hint="eastAsia" w:ascii="仿宋_GB2312" w:hAnsi="宋体" w:eastAsia="仿宋_GB2312"/>
          <w:color w:val="000000"/>
          <w:kern w:val="0"/>
          <w:sz w:val="32"/>
          <w:szCs w:val="32"/>
        </w:rPr>
        <w:t>指单位按有关规定结转到下年或以后年度继续使用的资金，或项目已完成等产生的结余资金。</w:t>
      </w:r>
    </w:p>
    <w:p>
      <w:pPr>
        <w:widowControl/>
        <w:spacing w:after="0" w:line="560" w:lineRule="exact"/>
        <w:ind w:firstLine="640" w:firstLineChars="200"/>
        <w:rPr>
          <w:rFonts w:ascii="仿宋_GB2312" w:hAnsi="宋体" w:eastAsia="仿宋_GB2312"/>
          <w:color w:val="000000"/>
          <w:kern w:val="0"/>
          <w:sz w:val="32"/>
          <w:szCs w:val="32"/>
        </w:rPr>
      </w:pPr>
    </w:p>
    <w:p>
      <w:pPr>
        <w:widowControl/>
        <w:spacing w:after="0" w:line="560" w:lineRule="exact"/>
        <w:ind w:firstLine="643" w:firstLineChars="200"/>
        <w:rPr>
          <w:rFonts w:ascii="仿宋_GB2312" w:hAnsi="宋体" w:eastAsia="仿宋_GB2312"/>
          <w:color w:val="000000"/>
          <w:kern w:val="0"/>
          <w:sz w:val="32"/>
          <w:szCs w:val="32"/>
        </w:rPr>
      </w:pPr>
      <w:r>
        <w:rPr>
          <w:rFonts w:ascii="仿宋_GB2312" w:hAnsi="宋体" w:eastAsia="仿宋_GB2312"/>
          <w:b/>
          <w:bCs/>
          <w:color w:val="000000"/>
          <w:kern w:val="0"/>
          <w:sz w:val="32"/>
          <w:szCs w:val="32"/>
          <w:lang w:val="zh-CN"/>
        </w:rPr>
        <mc:AlternateContent>
          <mc:Choice Requires="wpg">
            <w:drawing>
              <wp:anchor distT="0" distB="0" distL="114300" distR="114300" simplePos="0" relativeHeight="251681792" behindDoc="0" locked="1" layoutInCell="1" allowOverlap="1">
                <wp:simplePos x="0" y="0"/>
                <wp:positionH relativeFrom="column">
                  <wp:posOffset>-1026795</wp:posOffset>
                </wp:positionH>
                <wp:positionV relativeFrom="page">
                  <wp:posOffset>374015</wp:posOffset>
                </wp:positionV>
                <wp:extent cx="3363595" cy="558165"/>
                <wp:effectExtent l="10160" t="2540" r="0" b="20320"/>
                <wp:wrapNone/>
                <wp:docPr id="6" name="Group 143"/>
                <wp:cNvGraphicFramePr/>
                <a:graphic xmlns:a="http://schemas.openxmlformats.org/drawingml/2006/main">
                  <a:graphicData uri="http://schemas.microsoft.com/office/word/2010/wordprocessingGroup">
                    <wpg:wgp>
                      <wpg:cNvGrpSpPr/>
                      <wpg:grpSpPr>
                        <a:xfrm>
                          <a:off x="0" y="0"/>
                          <a:ext cx="3363595" cy="558165"/>
                          <a:chOff x="4551" y="52615"/>
                          <a:chExt cx="8546" cy="1398"/>
                        </a:xfrm>
                      </wpg:grpSpPr>
                      <wps:wsp>
                        <wps:cNvPr id="7" name="1118"/>
                        <wps:cNvSpPr>
                          <a:spLocks noChangeArrowheads="1"/>
                        </wps:cNvSpPr>
                        <wps:spPr bwMode="auto">
                          <a:xfrm>
                            <a:off x="4551" y="52615"/>
                            <a:ext cx="8546" cy="1175"/>
                          </a:xfrm>
                          <a:prstGeom prst="rect">
                            <a:avLst/>
                          </a:prstGeom>
                          <a:solidFill>
                            <a:srgbClr val="D8D8D8"/>
                          </a:solidFill>
                          <a:ln>
                            <a:noFill/>
                          </a:ln>
                        </wps:spPr>
                        <wps:bodyPr rot="0" vert="horz" wrap="square" lIns="91440" tIns="45720" rIns="91440" bIns="45720" anchor="t" anchorCtr="0" upright="1">
                          <a:noAutofit/>
                        </wps:bodyPr>
                      </wps:wsp>
                      <wps:wsp>
                        <wps:cNvPr id="8" name="1119"/>
                        <wps:cNvSpPr>
                          <a:spLocks noChangeArrowheads="1"/>
                        </wps:cNvSpPr>
                        <wps:spPr bwMode="auto">
                          <a:xfrm>
                            <a:off x="4577" y="52890"/>
                            <a:ext cx="8324" cy="1123"/>
                          </a:xfrm>
                          <a:prstGeom prst="rect">
                            <a:avLst/>
                          </a:prstGeom>
                          <a:solidFill>
                            <a:srgbClr val="AD002D"/>
                          </a:solidFill>
                          <a:ln w="25400">
                            <a:solidFill>
                              <a:srgbClr val="AF7621"/>
                            </a:solidFill>
                            <a:miter lim="800000"/>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2018年度部门决算☞名词解释</w:t>
                              </w:r>
                            </w:p>
                            <w:p>
                              <w:pPr>
                                <w:jc w:val="center"/>
                              </w:pPr>
                            </w:p>
                          </w:txbxContent>
                        </wps:txbx>
                        <wps:bodyPr rot="0" vert="horz" wrap="square" lIns="91440" tIns="45720" rIns="91440" bIns="45720" anchor="ctr" anchorCtr="0" upright="1">
                          <a:noAutofit/>
                        </wps:bodyPr>
                      </wps:wsp>
                    </wpg:wgp>
                  </a:graphicData>
                </a:graphic>
              </wp:anchor>
            </w:drawing>
          </mc:Choice>
          <mc:Fallback>
            <w:pict>
              <v:group id="Group 143" o:spid="_x0000_s1026" o:spt="203" style="position:absolute;left:0pt;margin-left:-80.85pt;margin-top:29.45pt;height:43.95pt;width:264.85pt;mso-position-vertical-relative:page;z-index:251681792;mso-width-relative:page;mso-height-relative:page;" coordorigin="4551,52615" coordsize="8546,1398" o:gfxdata="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C1US3X2wAAAAsBAAAPAAAAAAAAAAEAIAAAACIAAABkcnMvZG93&#10;bnJldi54bWxQSwECFAAUAAAACACHTuJAUMfr3uECAADzBwAADgAAAAAAAAABACAAAAAqAQAAZHJz&#10;L2Uyb0RvYy54bWxQSwUGAAAAAAYABgBZAQAAfQYAAAAA&#10;">
                <o:lock v:ext="edit" aspectratio="f"/>
                <v:rect id="1118" o:spid="_x0000_s1026" o:spt="1" style="position:absolute;left:4551;top:52615;height:1175;width:8546;" fillcolor="#D8D8D8" filled="t" stroked="f" coordsize="21600,21600" o:gfxdata="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Qwh9u8AAAA&#10;2gAAAA8AAAAAAAAAAQAgAAAAIgAAAGRycy9kb3ducmV2LnhtbFBLAQIUABQAAAAIAIdO4kAzLwWe&#10;OwAAADkAAAAQAAAAAAAAAAEAIAAAAAsBAABkcnMvc2hhcGV4bWwueG1sUEsFBgAAAAAGAAYAWwEA&#10;ALUDAAAAAA==&#10;">
                  <v:fill on="t" focussize="0,0"/>
                  <v:stroke on="f"/>
                  <v:imagedata o:title=""/>
                  <o:lock v:ext="edit" aspectratio="f"/>
                </v:rect>
                <v:rect id="1119" o:spid="_x0000_s1026" o:spt="1" style="position:absolute;left:4577;top:52890;height:1123;width:8324;v-text-anchor:middle;" fillcolor="#AD002D" filled="t" stroked="t" coordsize="21600,21600" o:gfxdata="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i0j9e5AAAA2gAA&#10;AA8AAAAAAAAAAQAgAAAAIgAAAGRycy9kb3ducmV2LnhtbFBLAQIUABQAAAAIAIdO4kAzLwWeOwAA&#10;ADkAAAAQAAAAAAAAAAEAIAAAAAgBAABkcnMvc2hhcGV4bWwueG1sUEsFBgAAAAAGAAYAWwEAALID&#10;AAAAAA==&#10;">
                  <v:fill on="t" focussize="0,0"/>
                  <v:stroke weight="2pt" color="#AF7621" miterlimit="8" joinstyle="miter"/>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2018年度部门决算☞名词解释</w:t>
                        </w:r>
                      </w:p>
                      <w:p>
                        <w:pPr>
                          <w:jc w:val="center"/>
                        </w:pPr>
                      </w:p>
                    </w:txbxContent>
                  </v:textbox>
                </v:rect>
                <w10:anchorlock/>
              </v:group>
            </w:pict>
          </mc:Fallback>
        </mc:AlternateContent>
      </w:r>
      <w:r>
        <w:rPr>
          <w:rFonts w:hint="eastAsia" w:ascii="仿宋_GB2312" w:hAnsi="宋体" w:eastAsia="仿宋_GB2312"/>
          <w:b/>
          <w:bCs/>
          <w:color w:val="000000"/>
          <w:kern w:val="0"/>
          <w:sz w:val="32"/>
          <w:szCs w:val="32"/>
        </w:rPr>
        <w:t>（八）基本支出：</w:t>
      </w:r>
      <w:r>
        <w:rPr>
          <w:rFonts w:hint="eastAsia" w:ascii="仿宋_GB2312" w:hAnsi="宋体" w:eastAsia="仿宋_GB2312"/>
          <w:color w:val="000000"/>
          <w:kern w:val="0"/>
          <w:sz w:val="32"/>
          <w:szCs w:val="32"/>
        </w:rPr>
        <w:t>填列单位为保障机构正常运转、完成日常工作任务而发生的各项支出。</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（九）项目支出：</w:t>
      </w:r>
      <w:r>
        <w:rPr>
          <w:rFonts w:hint="eastAsia" w:ascii="仿宋_GB2312" w:hAnsi="宋体" w:eastAsia="仿宋_GB2312"/>
          <w:color w:val="000000"/>
          <w:kern w:val="0"/>
          <w:sz w:val="32"/>
          <w:szCs w:val="32"/>
        </w:rPr>
        <w:t>填列单位为完成特定的行政工作任务或事业发展目标，在基本支出之外发生的各项支出</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（十）基本建设支出：</w:t>
      </w:r>
      <w:r>
        <w:rPr>
          <w:rFonts w:hint="eastAsia" w:ascii="仿宋_GB2312" w:hAnsi="宋体" w:eastAsia="仿宋_GB2312"/>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（十一）其他资本性支出：</w:t>
      </w:r>
      <w:r>
        <w:rPr>
          <w:rFonts w:hint="eastAsia" w:ascii="仿宋_GB2312" w:hAnsi="宋体" w:eastAsia="仿宋_GB2312"/>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（十二）“三公”经费：</w:t>
      </w:r>
      <w:r>
        <w:rPr>
          <w:rFonts w:hint="eastAsia" w:ascii="仿宋_GB2312" w:hAnsi="宋体" w:eastAsia="仿宋_GB2312"/>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费反映单位按规定开支的各类公务接待（含外宾接待）支出。</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lang w:val="zh-CN"/>
        </w:rPr>
        <mc:AlternateContent>
          <mc:Choice Requires="wpg">
            <w:drawing>
              <wp:anchor distT="0" distB="0" distL="114300" distR="114300" simplePos="0" relativeHeight="251686912" behindDoc="0" locked="1" layoutInCell="1" allowOverlap="1">
                <wp:simplePos x="0" y="0"/>
                <wp:positionH relativeFrom="page">
                  <wp:align>left</wp:align>
                </wp:positionH>
                <wp:positionV relativeFrom="page">
                  <wp:posOffset>377825</wp:posOffset>
                </wp:positionV>
                <wp:extent cx="3363595" cy="558165"/>
                <wp:effectExtent l="0" t="0" r="8255" b="13335"/>
                <wp:wrapNone/>
                <wp:docPr id="1" name="Group 159"/>
                <wp:cNvGraphicFramePr/>
                <a:graphic xmlns:a="http://schemas.openxmlformats.org/drawingml/2006/main">
                  <a:graphicData uri="http://schemas.microsoft.com/office/word/2010/wordprocessingGroup">
                    <wpg:wgp>
                      <wpg:cNvGrpSpPr/>
                      <wpg:grpSpPr>
                        <a:xfrm>
                          <a:off x="0" y="0"/>
                          <a:ext cx="3363595" cy="558165"/>
                          <a:chOff x="4551" y="52615"/>
                          <a:chExt cx="8546" cy="1398"/>
                        </a:xfrm>
                      </wpg:grpSpPr>
                      <wps:wsp>
                        <wps:cNvPr id="3" name="1118"/>
                        <wps:cNvSpPr>
                          <a:spLocks noChangeArrowheads="1"/>
                        </wps:cNvSpPr>
                        <wps:spPr bwMode="auto">
                          <a:xfrm>
                            <a:off x="4551" y="52615"/>
                            <a:ext cx="8546" cy="1175"/>
                          </a:xfrm>
                          <a:prstGeom prst="rect">
                            <a:avLst/>
                          </a:prstGeom>
                          <a:solidFill>
                            <a:srgbClr val="D8D8D8"/>
                          </a:solidFill>
                          <a:ln>
                            <a:noFill/>
                          </a:ln>
                        </wps:spPr>
                        <wps:bodyPr rot="0" vert="horz" wrap="square" lIns="91440" tIns="45720" rIns="91440" bIns="45720" anchor="t" anchorCtr="0" upright="1">
                          <a:noAutofit/>
                        </wps:bodyPr>
                      </wps:wsp>
                      <wps:wsp>
                        <wps:cNvPr id="5" name="1119"/>
                        <wps:cNvSpPr>
                          <a:spLocks noChangeArrowheads="1"/>
                        </wps:cNvSpPr>
                        <wps:spPr bwMode="auto">
                          <a:xfrm>
                            <a:off x="4577" y="52890"/>
                            <a:ext cx="8324" cy="1123"/>
                          </a:xfrm>
                          <a:prstGeom prst="rect">
                            <a:avLst/>
                          </a:prstGeom>
                          <a:solidFill>
                            <a:srgbClr val="AD002D"/>
                          </a:solidFill>
                          <a:ln w="25400">
                            <a:solidFill>
                              <a:srgbClr val="AF7621"/>
                            </a:solidFill>
                            <a:miter lim="800000"/>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2018年度部门决算☞名词解释</w:t>
                              </w:r>
                            </w:p>
                            <w:p>
                              <w:pPr>
                                <w:jc w:val="center"/>
                              </w:pPr>
                            </w:p>
                          </w:txbxContent>
                        </wps:txbx>
                        <wps:bodyPr rot="0" vert="horz" wrap="square" lIns="91440" tIns="45720" rIns="91440" bIns="45720" anchor="ctr" anchorCtr="0" upright="1">
                          <a:noAutofit/>
                        </wps:bodyPr>
                      </wps:wsp>
                    </wpg:wgp>
                  </a:graphicData>
                </a:graphic>
              </wp:anchor>
            </w:drawing>
          </mc:Choice>
          <mc:Fallback>
            <w:pict>
              <v:group id="Group 159" o:spid="_x0000_s1026" o:spt="203" style="position:absolute;left:0pt;margin-top:29.75pt;height:43.95pt;width:264.85pt;mso-position-horizontal:left;mso-position-horizontal-relative:page;mso-position-vertical-relative:page;z-index:251686912;mso-width-relative:page;mso-height-relative:page;" coordorigin="4551,52615" coordsize="8546,1398" o:gfxdata="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PWrj0nYAAAABwEAAA8AAAAAAAAAAQAgAAAAIgAAAGRycy9kb3ducmV2Lnht&#10;bFBLAQIUABQAAAAIAIdO4kC3+KqD3QIAAPMHAAAOAAAAAAAAAAEAIAAAACcBAABkcnMvZTJvRG9j&#10;LnhtbFBLBQYAAAAABgAGAFkBAAB2BgAAAAA=&#10;">
                <o:lock v:ext="edit" aspectratio="f"/>
                <v:rect id="1118" o:spid="_x0000_s1026" o:spt="1" style="position:absolute;left:4551;top:52615;height:1175;width:8546;" fillcolor="#D8D8D8" filled="t" stroked="f" coordsize="21600,21600" o:gfxdata="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C4HYvQAA&#10;ANoAAAAPAAAAAAAAAAEAIAAAACIAAABkcnMvZG93bnJldi54bWxQSwECFAAUAAAACACHTuJAMy8F&#10;njsAAAA5AAAAEAAAAAAAAAABACAAAAAMAQAAZHJzL3NoYXBleG1sLnhtbFBLBQYAAAAABgAGAFsB&#10;AAC2AwAAAAA=&#10;">
                  <v:fill on="t" focussize="0,0"/>
                  <v:stroke on="f"/>
                  <v:imagedata o:title=""/>
                  <o:lock v:ext="edit" aspectratio="f"/>
                </v:rect>
                <v:rect id="1119" o:spid="_x0000_s1026" o:spt="1" style="position:absolute;left:4577;top:52890;height:1123;width:8324;v-text-anchor:middle;" fillcolor="#AD002D" filled="t" stroked="t" coordsize="21600,21600" o:gfxdata="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rUgSbsAAADa&#10;AAAADwAAAAAAAAABACAAAAAiAAAAZHJzL2Rvd25yZXYueG1sUEsBAhQAFAAAAAgAh07iQDMvBZ47&#10;AAAAOQAAABAAAAAAAAAAAQAgAAAACgEAAGRycy9zaGFwZXhtbC54bWxQSwUGAAAAAAYABgBbAQAA&#10;tAMAAAAA&#10;">
                  <v:fill on="t" focussize="0,0"/>
                  <v:stroke weight="2pt" color="#AF7621" miterlimit="8" joinstyle="miter"/>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2018年度部门决算☞名词解释</w:t>
                        </w:r>
                      </w:p>
                      <w:p>
                        <w:pPr>
                          <w:jc w:val="center"/>
                        </w:pPr>
                      </w:p>
                    </w:txbxContent>
                  </v:textbox>
                </v:rect>
                <w10:anchorlock/>
              </v:group>
            </w:pict>
          </mc:Fallback>
        </mc:AlternateContent>
      </w:r>
      <w:r>
        <w:rPr>
          <w:rFonts w:hint="eastAsia" w:ascii="仿宋_GB2312" w:hAnsi="宋体" w:eastAsia="仿宋_GB2312"/>
          <w:b/>
          <w:bCs/>
          <w:color w:val="000000"/>
          <w:kern w:val="0"/>
          <w:sz w:val="32"/>
          <w:szCs w:val="32"/>
        </w:rPr>
        <w:t>（十三）其他交通费用：</w:t>
      </w:r>
      <w:r>
        <w:rPr>
          <w:rFonts w:hint="eastAsia" w:ascii="仿宋_GB2312" w:hAnsi="宋体" w:eastAsia="仿宋_GB2312"/>
          <w:color w:val="000000"/>
          <w:kern w:val="0"/>
          <w:sz w:val="32"/>
          <w:szCs w:val="32"/>
        </w:rPr>
        <w:t>填列单位除公务用车运行维护费以外的其他交通费用。如飞机、船舶等的燃料费、维修费、过桥过路费、保险费、出租车费用、公务交通补贴等。</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（十四）公务用车购置：</w:t>
      </w:r>
      <w:r>
        <w:rPr>
          <w:rFonts w:hint="eastAsia" w:ascii="仿宋_GB2312" w:hAnsi="宋体" w:eastAsia="仿宋_GB2312"/>
          <w:color w:val="000000"/>
          <w:kern w:val="0"/>
          <w:sz w:val="32"/>
          <w:szCs w:val="32"/>
        </w:rPr>
        <w:t>填列单位公务用车车辆购置支出（含车辆购置税）。</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（十五）其他交通工具购置：</w:t>
      </w:r>
      <w:r>
        <w:rPr>
          <w:rFonts w:hint="eastAsia" w:ascii="仿宋_GB2312" w:hAnsi="宋体" w:eastAsia="仿宋_GB2312"/>
          <w:color w:val="000000"/>
          <w:kern w:val="0"/>
          <w:sz w:val="32"/>
          <w:szCs w:val="32"/>
        </w:rPr>
        <w:t>填列单位除公务用车外的其他各类交通工具（如船舶、飞机）购置支出（含车辆购置税）。</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（十六）机关运行经费：</w:t>
      </w:r>
      <w:r>
        <w:rPr>
          <w:rFonts w:hint="eastAsia" w:ascii="仿宋_GB2312" w:hAnsi="宋体" w:eastAsia="仿宋_GB2312"/>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after="0" w:line="560" w:lineRule="exact"/>
        <w:ind w:firstLine="643" w:firstLineChars="200"/>
        <w:rPr>
          <w:rFonts w:ascii="仿宋_GB2312" w:hAnsi="Cambria" w:eastAsia="仿宋_GB2312" w:cs="ArialUnicodeMS"/>
          <w:kern w:val="0"/>
          <w:sz w:val="32"/>
          <w:szCs w:val="32"/>
        </w:rPr>
      </w:pPr>
      <w:r>
        <w:rPr>
          <w:rFonts w:hint="eastAsia" w:ascii="仿宋_GB2312" w:hAnsi="宋体" w:eastAsia="仿宋_GB2312"/>
          <w:b/>
          <w:bCs/>
          <w:color w:val="000000"/>
          <w:kern w:val="0"/>
          <w:sz w:val="32"/>
          <w:szCs w:val="32"/>
        </w:rPr>
        <w:t>（十七）经费形式:</w:t>
      </w:r>
      <w:r>
        <w:rPr>
          <w:rFonts w:hint="eastAsia" w:ascii="仿宋_GB2312" w:hAnsi="宋体" w:eastAsia="仿宋_GB2312"/>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Pr>
        <w:widowControl/>
        <w:spacing w:after="0" w:line="560" w:lineRule="exact"/>
        <w:ind w:firstLine="640" w:firstLineChars="200"/>
        <w:rPr>
          <w:rFonts w:ascii="仿宋_GB2312" w:hAnsi="Cambria" w:eastAsia="仿宋_GB2312" w:cs="ArialUnicodeMS"/>
          <w:kern w:val="0"/>
          <w:sz w:val="32"/>
          <w:szCs w:val="32"/>
        </w:rPr>
      </w:pPr>
    </w:p>
    <w:p>
      <w:pPr>
        <w:widowControl/>
        <w:spacing w:after="0" w:line="560" w:lineRule="exact"/>
        <w:ind w:firstLine="640" w:firstLineChars="200"/>
        <w:rPr>
          <w:rFonts w:ascii="仿宋_GB2312" w:hAnsi="Cambria" w:eastAsia="仿宋_GB2312" w:cs="ArialUnicodeMS"/>
          <w:kern w:val="0"/>
          <w:sz w:val="32"/>
          <w:szCs w:val="32"/>
        </w:rPr>
      </w:pPr>
    </w:p>
    <w:p>
      <w:pPr>
        <w:widowControl/>
        <w:spacing w:after="0" w:line="560" w:lineRule="exact"/>
        <w:ind w:firstLine="640" w:firstLineChars="200"/>
        <w:rPr>
          <w:rFonts w:ascii="仿宋_GB2312" w:hAnsi="Cambria" w:eastAsia="仿宋_GB2312" w:cs="ArialUnicodeMS"/>
          <w:kern w:val="0"/>
          <w:sz w:val="32"/>
          <w:szCs w:val="32"/>
        </w:rPr>
      </w:pPr>
    </w:p>
    <w:p>
      <w:pPr>
        <w:widowControl/>
        <w:spacing w:after="0" w:line="560" w:lineRule="exact"/>
        <w:ind w:firstLine="640" w:firstLineChars="200"/>
        <w:rPr>
          <w:rFonts w:ascii="仿宋_GB2312" w:hAnsi="Cambria" w:eastAsia="仿宋_GB2312" w:cs="ArialUnicodeMS"/>
          <w:kern w:val="0"/>
          <w:sz w:val="32"/>
          <w:szCs w:val="32"/>
        </w:rPr>
      </w:pPr>
    </w:p>
    <w:p>
      <w:pPr>
        <w:widowControl/>
        <w:spacing w:after="0" w:line="560" w:lineRule="exact"/>
        <w:ind w:firstLine="640" w:firstLineChars="200"/>
        <w:rPr>
          <w:rFonts w:ascii="仿宋_GB2312" w:hAnsi="Cambria" w:eastAsia="仿宋_GB2312" w:cs="ArialUnicodeMS"/>
          <w:kern w:val="0"/>
          <w:sz w:val="32"/>
          <w:szCs w:val="32"/>
        </w:rPr>
      </w:pPr>
    </w:p>
    <w:p>
      <w:pPr>
        <w:widowControl/>
        <w:spacing w:after="0" w:line="560" w:lineRule="exact"/>
        <w:ind w:firstLine="640" w:firstLineChars="200"/>
        <w:rPr>
          <w:rFonts w:ascii="仿宋_GB2312" w:hAnsi="Cambria" w:eastAsia="仿宋_GB2312" w:cs="ArialUnicodeMS"/>
          <w:kern w:val="0"/>
          <w:sz w:val="32"/>
          <w:szCs w:val="32"/>
        </w:rPr>
      </w:pPr>
    </w:p>
    <w:p>
      <w:pPr>
        <w:widowControl/>
        <w:spacing w:after="0" w:line="560" w:lineRule="exact"/>
        <w:ind w:firstLine="640" w:firstLineChars="200"/>
        <w:rPr>
          <w:rFonts w:ascii="仿宋_GB2312" w:hAnsi="Cambria" w:eastAsia="仿宋_GB2312" w:cs="ArialUnicodeMS"/>
          <w:kern w:val="0"/>
          <w:sz w:val="32"/>
          <w:szCs w:val="32"/>
        </w:rPr>
        <w:sectPr>
          <w:pgSz w:w="11906" w:h="16838"/>
          <w:pgMar w:top="1588" w:right="2098" w:bottom="1474" w:left="1588" w:header="851" w:footer="992" w:gutter="0"/>
          <w:cols w:space="425" w:num="1"/>
          <w:docGrid w:linePitch="312" w:charSpace="0"/>
        </w:sectPr>
      </w:pPr>
    </w:p>
    <w:p>
      <w:pPr>
        <w:widowControl/>
        <w:spacing w:after="0" w:line="560" w:lineRule="exact"/>
        <w:ind w:firstLine="640" w:firstLineChars="200"/>
        <w:rPr>
          <w:rFonts w:ascii="仿宋_GB2312" w:hAnsi="Cambria" w:eastAsia="仿宋_GB2312" w:cs="ArialUnicodeMS"/>
          <w:kern w:val="0"/>
          <w:sz w:val="32"/>
          <w:szCs w:val="32"/>
        </w:rPr>
      </w:pPr>
      <w:r>
        <w:rPr>
          <w:rFonts w:ascii="仿宋_GB2312" w:hAnsi="Cambria" w:eastAsia="仿宋_GB2312" w:cs="ArialUnicodeMS"/>
          <w:kern w:val="0"/>
          <w:sz w:val="32"/>
          <w:szCs w:val="32"/>
        </w:rPr>
        <w:drawing>
          <wp:anchor distT="0" distB="0" distL="0" distR="0" simplePos="0" relativeHeight="251664384" behindDoc="1" locked="0" layoutInCell="1" allowOverlap="1">
            <wp:simplePos x="0" y="0"/>
            <wp:positionH relativeFrom="column">
              <wp:posOffset>-990600</wp:posOffset>
            </wp:positionH>
            <wp:positionV relativeFrom="paragraph">
              <wp:posOffset>-1355090</wp:posOffset>
            </wp:positionV>
            <wp:extent cx="7590155" cy="10735945"/>
            <wp:effectExtent l="0" t="0" r="10795" b="8255"/>
            <wp:wrapNone/>
            <wp:docPr id="1126" name="图片 101"/>
            <wp:cNvGraphicFramePr/>
            <a:graphic xmlns:a="http://schemas.openxmlformats.org/drawingml/2006/main">
              <a:graphicData uri="http://schemas.openxmlformats.org/drawingml/2006/picture">
                <pic:pic xmlns:pic="http://schemas.openxmlformats.org/drawingml/2006/picture">
                  <pic:nvPicPr>
                    <pic:cNvPr id="1126" name="图片 101"/>
                    <pic:cNvPicPr/>
                  </pic:nvPicPr>
                  <pic:blipFill>
                    <a:blip r:embed="rId18" cstate="print"/>
                    <a:srcRect/>
                    <a:stretch>
                      <a:fillRect/>
                    </a:stretch>
                  </pic:blipFill>
                  <pic:spPr>
                    <a:xfrm>
                      <a:off x="0" y="0"/>
                      <a:ext cx="7590155" cy="10735945"/>
                    </a:xfrm>
                    <a:prstGeom prst="rect">
                      <a:avLst/>
                    </a:prstGeom>
                  </pic:spPr>
                </pic:pic>
              </a:graphicData>
            </a:graphic>
          </wp:anchor>
        </w:drawing>
      </w:r>
    </w:p>
    <w:p>
      <w:pPr>
        <w:widowControl/>
        <w:spacing w:after="0" w:line="560" w:lineRule="exact"/>
        <w:ind w:firstLine="640" w:firstLineChars="200"/>
        <w:rPr>
          <w:rFonts w:ascii="仿宋_GB2312" w:hAnsi="Cambria" w:eastAsia="仿宋_GB2312" w:cs="ArialUnicodeMS"/>
          <w:kern w:val="0"/>
          <w:sz w:val="32"/>
          <w:szCs w:val="32"/>
        </w:rPr>
      </w:pPr>
    </w:p>
    <w:p>
      <w:pPr>
        <w:widowControl/>
        <w:spacing w:after="0" w:line="560" w:lineRule="exact"/>
        <w:ind w:firstLine="640" w:firstLineChars="200"/>
        <w:rPr>
          <w:rFonts w:ascii="仿宋_GB2312" w:hAnsi="Cambria" w:eastAsia="仿宋_GB2312" w:cs="ArialUnicodeMS"/>
          <w:kern w:val="0"/>
          <w:sz w:val="32"/>
          <w:szCs w:val="32"/>
        </w:rPr>
      </w:pPr>
    </w:p>
    <w:p>
      <w:pPr>
        <w:widowControl/>
        <w:spacing w:after="0" w:line="560" w:lineRule="exact"/>
        <w:ind w:firstLine="640" w:firstLineChars="200"/>
        <w:rPr>
          <w:rFonts w:ascii="仿宋_GB2312" w:hAnsi="Cambria" w:eastAsia="仿宋_GB2312" w:cs="ArialUnicodeMS"/>
          <w:kern w:val="0"/>
          <w:sz w:val="32"/>
          <w:szCs w:val="32"/>
        </w:rPr>
      </w:pPr>
    </w:p>
    <w:p>
      <w:pPr>
        <w:widowControl/>
        <w:spacing w:after="0" w:line="560" w:lineRule="exact"/>
        <w:ind w:firstLine="640" w:firstLineChars="200"/>
        <w:rPr>
          <w:rFonts w:ascii="仿宋_GB2312" w:hAnsi="Cambria" w:eastAsia="仿宋_GB2312" w:cs="ArialUnicodeMS"/>
          <w:kern w:val="0"/>
          <w:sz w:val="32"/>
          <w:szCs w:val="32"/>
        </w:rPr>
      </w:pPr>
    </w:p>
    <w:p>
      <w:pPr>
        <w:widowControl/>
        <w:spacing w:after="0" w:line="240" w:lineRule="auto"/>
        <w:ind w:firstLine="640" w:firstLineChars="200"/>
        <w:rPr>
          <w:rFonts w:ascii="仿宋_GB2312" w:hAnsi="Cambria" w:eastAsia="仿宋_GB2312" w:cs="ArialUnicodeMS"/>
          <w:kern w:val="0"/>
          <w:sz w:val="32"/>
          <w:szCs w:val="32"/>
        </w:rPr>
      </w:pPr>
    </w:p>
    <w:sectPr>
      <w:pgSz w:w="11906" w:h="16838"/>
      <w:pgMar w:top="1588" w:right="2098" w:bottom="1474" w:left="1588" w:header="851" w:footer="992" w:gutter="0"/>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02F" w:usb1="29D77CFB" w:usb2="00000012" w:usb3="00000000" w:csb0="00080001" w:csb1="00000000"/>
  </w:font>
  <w:font w:name="Microsoft Sans Serif">
    <w:panose1 w:val="020B0604020202020204"/>
    <w:charset w:val="00"/>
    <w:family w:val="swiss"/>
    <w:pitch w:val="default"/>
    <w:sig w:usb0="E5002EFF" w:usb1="C000605B" w:usb2="00000029" w:usb3="00000000" w:csb0="200101FF" w:csb1="20280000"/>
  </w:font>
  <w:font w:name="MS-UIGothic,Bold">
    <w:altName w:val="Malgun Gothic"/>
    <w:panose1 w:val="00000000000000000000"/>
    <w:charset w:val="81"/>
    <w:family w:val="auto"/>
    <w:pitch w:val="default"/>
    <w:sig w:usb0="00000000" w:usb1="00000000" w:usb2="00000010" w:usb3="00000000" w:csb0="00080000" w:csb1="00000000"/>
  </w:font>
  <w:font w:name="DengXian-Regular">
    <w:altName w:val="宋体"/>
    <w:panose1 w:val="00000000000000000000"/>
    <w:charset w:val="86"/>
    <w:family w:val="auto"/>
    <w:pitch w:val="default"/>
    <w:sig w:usb0="00000000" w:usb1="00000000" w:usb2="00000010" w:usb3="00000000" w:csb0="00040001" w:csb1="00000000"/>
  </w:font>
  <w:font w:name="楷体_GB2312">
    <w:altName w:val="楷体"/>
    <w:panose1 w:val="02010609030101010101"/>
    <w:charset w:val="86"/>
    <w:family w:val="modern"/>
    <w:pitch w:val="default"/>
    <w:sig w:usb0="00000000" w:usb1="00000000" w:usb2="00000000" w:usb3="00000000" w:csb0="00000000" w:csb1="00000000"/>
  </w:font>
  <w:font w:name="DengXian-Bold">
    <w:altName w:val="宋体"/>
    <w:panose1 w:val="00000000000000000000"/>
    <w:charset w:val="86"/>
    <w:family w:val="auto"/>
    <w:pitch w:val="default"/>
    <w:sig w:usb0="00000000" w:usb1="00000000" w:usb2="00000010" w:usb3="00000000" w:csb0="00040001" w:csb1="00000000"/>
  </w:font>
  <w:font w:name="方正仿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949492"/>
    </w:sdtPr>
    <w:sdtContent>
      <w:p>
        <w:pPr>
          <w:pStyle w:val="8"/>
          <w:jc w:val="center"/>
        </w:pPr>
        <w:r>
          <w:fldChar w:fldCharType="begin"/>
        </w:r>
        <w:r>
          <w:instrText xml:space="preserve"> PAGE   \* MERGEFORMAT </w:instrText>
        </w:r>
        <w:r>
          <w:fldChar w:fldCharType="separate"/>
        </w:r>
        <w:r>
          <w:rPr>
            <w:lang w:val="zh-CN"/>
          </w:rPr>
          <w:t>41</w:t>
        </w:r>
        <w:r>
          <w:rPr>
            <w:lang w:val="zh-CN"/>
          </w:rPr>
          <w:fldChar w:fldCharType="end"/>
        </w:r>
      </w:p>
    </w:sdtContent>
  </w:sdt>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80" w:lineRule="auto"/>
      </w:pPr>
      <w:r>
        <w:separator/>
      </w:r>
    </w:p>
  </w:footnote>
  <w:footnote w:type="continuationSeparator" w:id="1">
    <w:p>
      <w:pPr>
        <w:spacing w:before="0" w:after="0" w:line="48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1118"/>
      </w:tabs>
      <w:jc w:val="left"/>
    </w:pPr>
    <w:r>
      <w:rPr>
        <w:rFonts w:hint="eastAsia"/>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A373D9"/>
    <w:multiLevelType w:val="singleLevel"/>
    <w:tmpl w:val="E3A373D9"/>
    <w:lvl w:ilvl="0" w:tentative="0">
      <w:start w:val="2"/>
      <w:numFmt w:val="chineseCounting"/>
      <w:suff w:val="nothing"/>
      <w:lvlText w:val="（%1）"/>
      <w:lvlJc w:val="left"/>
      <w:rPr>
        <w:rFonts w:hint="eastAsia"/>
      </w:rPr>
    </w:lvl>
  </w:abstractNum>
  <w:abstractNum w:abstractNumId="1">
    <w:nsid w:val="5C450A8F"/>
    <w:multiLevelType w:val="singleLevel"/>
    <w:tmpl w:val="5C450A8F"/>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697"/>
    <w:rsid w:val="000247C1"/>
    <w:rsid w:val="00027391"/>
    <w:rsid w:val="00064AC8"/>
    <w:rsid w:val="00073D51"/>
    <w:rsid w:val="00076FF6"/>
    <w:rsid w:val="00086C8A"/>
    <w:rsid w:val="00091013"/>
    <w:rsid w:val="00093D0C"/>
    <w:rsid w:val="00095165"/>
    <w:rsid w:val="00095946"/>
    <w:rsid w:val="00096916"/>
    <w:rsid w:val="000B5660"/>
    <w:rsid w:val="000B5F80"/>
    <w:rsid w:val="000E3826"/>
    <w:rsid w:val="000F447E"/>
    <w:rsid w:val="00117923"/>
    <w:rsid w:val="00125F80"/>
    <w:rsid w:val="0012766F"/>
    <w:rsid w:val="00136690"/>
    <w:rsid w:val="00142E55"/>
    <w:rsid w:val="001446B9"/>
    <w:rsid w:val="00147DE3"/>
    <w:rsid w:val="00162660"/>
    <w:rsid w:val="00175D9F"/>
    <w:rsid w:val="001B16F1"/>
    <w:rsid w:val="001B5A3F"/>
    <w:rsid w:val="001D4C87"/>
    <w:rsid w:val="001E4189"/>
    <w:rsid w:val="001F10A2"/>
    <w:rsid w:val="001F3FAD"/>
    <w:rsid w:val="00221040"/>
    <w:rsid w:val="0022189E"/>
    <w:rsid w:val="002435E5"/>
    <w:rsid w:val="00250053"/>
    <w:rsid w:val="002536BA"/>
    <w:rsid w:val="00277697"/>
    <w:rsid w:val="0029005A"/>
    <w:rsid w:val="00295774"/>
    <w:rsid w:val="002A2431"/>
    <w:rsid w:val="002C3AA4"/>
    <w:rsid w:val="002C70CD"/>
    <w:rsid w:val="002D7022"/>
    <w:rsid w:val="002E20F8"/>
    <w:rsid w:val="002F4594"/>
    <w:rsid w:val="002F586A"/>
    <w:rsid w:val="002F59F6"/>
    <w:rsid w:val="00307EAC"/>
    <w:rsid w:val="0031630C"/>
    <w:rsid w:val="00322549"/>
    <w:rsid w:val="00334DB1"/>
    <w:rsid w:val="00361B47"/>
    <w:rsid w:val="00371444"/>
    <w:rsid w:val="003A5473"/>
    <w:rsid w:val="003B24F2"/>
    <w:rsid w:val="003B7D7E"/>
    <w:rsid w:val="003C1EF5"/>
    <w:rsid w:val="003C472A"/>
    <w:rsid w:val="003D6554"/>
    <w:rsid w:val="003F0CDA"/>
    <w:rsid w:val="003F2489"/>
    <w:rsid w:val="003F5C80"/>
    <w:rsid w:val="00403221"/>
    <w:rsid w:val="00427F27"/>
    <w:rsid w:val="00441474"/>
    <w:rsid w:val="00441B21"/>
    <w:rsid w:val="00452C35"/>
    <w:rsid w:val="00464139"/>
    <w:rsid w:val="004B35EC"/>
    <w:rsid w:val="004B5C32"/>
    <w:rsid w:val="004C576E"/>
    <w:rsid w:val="004C58BE"/>
    <w:rsid w:val="004F1228"/>
    <w:rsid w:val="004F51AE"/>
    <w:rsid w:val="005216B6"/>
    <w:rsid w:val="005250D6"/>
    <w:rsid w:val="00525575"/>
    <w:rsid w:val="00530F7E"/>
    <w:rsid w:val="00550EBD"/>
    <w:rsid w:val="0056709E"/>
    <w:rsid w:val="0059504F"/>
    <w:rsid w:val="005A5BBE"/>
    <w:rsid w:val="005B1C1C"/>
    <w:rsid w:val="005C2A67"/>
    <w:rsid w:val="005D7B6F"/>
    <w:rsid w:val="005E5305"/>
    <w:rsid w:val="00627E57"/>
    <w:rsid w:val="0065278F"/>
    <w:rsid w:val="0067302C"/>
    <w:rsid w:val="006776C9"/>
    <w:rsid w:val="00677755"/>
    <w:rsid w:val="006A02AE"/>
    <w:rsid w:val="006A692F"/>
    <w:rsid w:val="006C79C3"/>
    <w:rsid w:val="006F483E"/>
    <w:rsid w:val="006F6387"/>
    <w:rsid w:val="0072415E"/>
    <w:rsid w:val="0073253C"/>
    <w:rsid w:val="00733DF8"/>
    <w:rsid w:val="00733E73"/>
    <w:rsid w:val="00736B69"/>
    <w:rsid w:val="007446B9"/>
    <w:rsid w:val="00756430"/>
    <w:rsid w:val="00761472"/>
    <w:rsid w:val="00762F97"/>
    <w:rsid w:val="00771819"/>
    <w:rsid w:val="007737D7"/>
    <w:rsid w:val="007B2478"/>
    <w:rsid w:val="007B6B4C"/>
    <w:rsid w:val="007C6439"/>
    <w:rsid w:val="007D0290"/>
    <w:rsid w:val="00814864"/>
    <w:rsid w:val="00850016"/>
    <w:rsid w:val="00854359"/>
    <w:rsid w:val="0088423E"/>
    <w:rsid w:val="00897157"/>
    <w:rsid w:val="008A72D6"/>
    <w:rsid w:val="008B4D37"/>
    <w:rsid w:val="008C0128"/>
    <w:rsid w:val="008C0426"/>
    <w:rsid w:val="008D3119"/>
    <w:rsid w:val="008D33B7"/>
    <w:rsid w:val="008F001E"/>
    <w:rsid w:val="00906320"/>
    <w:rsid w:val="0092443F"/>
    <w:rsid w:val="00926B90"/>
    <w:rsid w:val="00933311"/>
    <w:rsid w:val="00937327"/>
    <w:rsid w:val="0096218A"/>
    <w:rsid w:val="00962A39"/>
    <w:rsid w:val="009A242D"/>
    <w:rsid w:val="009B2BDD"/>
    <w:rsid w:val="009E19CD"/>
    <w:rsid w:val="009F192B"/>
    <w:rsid w:val="009F47B7"/>
    <w:rsid w:val="00A13C80"/>
    <w:rsid w:val="00A44148"/>
    <w:rsid w:val="00A57484"/>
    <w:rsid w:val="00A959E8"/>
    <w:rsid w:val="00AA3030"/>
    <w:rsid w:val="00AB579D"/>
    <w:rsid w:val="00AC56E9"/>
    <w:rsid w:val="00AC5AC1"/>
    <w:rsid w:val="00AD3420"/>
    <w:rsid w:val="00AD4BE9"/>
    <w:rsid w:val="00AE64C5"/>
    <w:rsid w:val="00AE695E"/>
    <w:rsid w:val="00B03F9B"/>
    <w:rsid w:val="00B06D04"/>
    <w:rsid w:val="00B2705E"/>
    <w:rsid w:val="00B337EE"/>
    <w:rsid w:val="00B45C30"/>
    <w:rsid w:val="00B47AD1"/>
    <w:rsid w:val="00B638AB"/>
    <w:rsid w:val="00B63A64"/>
    <w:rsid w:val="00B73371"/>
    <w:rsid w:val="00B7753F"/>
    <w:rsid w:val="00B81B64"/>
    <w:rsid w:val="00BA0C6E"/>
    <w:rsid w:val="00BA7917"/>
    <w:rsid w:val="00BB42E9"/>
    <w:rsid w:val="00BB55B7"/>
    <w:rsid w:val="00BD7B76"/>
    <w:rsid w:val="00C03835"/>
    <w:rsid w:val="00C140D0"/>
    <w:rsid w:val="00C16A4A"/>
    <w:rsid w:val="00C35447"/>
    <w:rsid w:val="00C777E1"/>
    <w:rsid w:val="00C865FD"/>
    <w:rsid w:val="00CB4A92"/>
    <w:rsid w:val="00CC5753"/>
    <w:rsid w:val="00CC5F13"/>
    <w:rsid w:val="00CF1643"/>
    <w:rsid w:val="00CF45C2"/>
    <w:rsid w:val="00D05032"/>
    <w:rsid w:val="00D3523A"/>
    <w:rsid w:val="00D41EFC"/>
    <w:rsid w:val="00D46A11"/>
    <w:rsid w:val="00D52999"/>
    <w:rsid w:val="00D56FDE"/>
    <w:rsid w:val="00D80443"/>
    <w:rsid w:val="00D9716C"/>
    <w:rsid w:val="00DC0C5A"/>
    <w:rsid w:val="00DD4740"/>
    <w:rsid w:val="00DE47CE"/>
    <w:rsid w:val="00DE4998"/>
    <w:rsid w:val="00DE568E"/>
    <w:rsid w:val="00E066C7"/>
    <w:rsid w:val="00E06CEA"/>
    <w:rsid w:val="00E567CC"/>
    <w:rsid w:val="00E5767E"/>
    <w:rsid w:val="00E62D5B"/>
    <w:rsid w:val="00EA6AE2"/>
    <w:rsid w:val="00EA70F3"/>
    <w:rsid w:val="00EB3AEF"/>
    <w:rsid w:val="00EC38C6"/>
    <w:rsid w:val="00EC5F15"/>
    <w:rsid w:val="00EC77B8"/>
    <w:rsid w:val="00EE16A5"/>
    <w:rsid w:val="00EF09CB"/>
    <w:rsid w:val="00EF52A6"/>
    <w:rsid w:val="00F21E19"/>
    <w:rsid w:val="00F21FEE"/>
    <w:rsid w:val="00F55315"/>
    <w:rsid w:val="00F62191"/>
    <w:rsid w:val="00F71907"/>
    <w:rsid w:val="00F835E0"/>
    <w:rsid w:val="00FA1CE6"/>
    <w:rsid w:val="00FA5629"/>
    <w:rsid w:val="00FD2FBD"/>
    <w:rsid w:val="00FE05F6"/>
    <w:rsid w:val="00FE23BB"/>
    <w:rsid w:val="00FE4D5A"/>
    <w:rsid w:val="00FE74E6"/>
    <w:rsid w:val="02174A18"/>
    <w:rsid w:val="037A188F"/>
    <w:rsid w:val="0D8444DF"/>
    <w:rsid w:val="10A72277"/>
    <w:rsid w:val="10EC643C"/>
    <w:rsid w:val="16DF4D51"/>
    <w:rsid w:val="16ED0483"/>
    <w:rsid w:val="1A972482"/>
    <w:rsid w:val="1DD530C1"/>
    <w:rsid w:val="1F8B19A8"/>
    <w:rsid w:val="201F3348"/>
    <w:rsid w:val="20EF0A2E"/>
    <w:rsid w:val="270B50F3"/>
    <w:rsid w:val="29163D64"/>
    <w:rsid w:val="2A386574"/>
    <w:rsid w:val="315C6DA9"/>
    <w:rsid w:val="356C7838"/>
    <w:rsid w:val="360D38E6"/>
    <w:rsid w:val="37D817DE"/>
    <w:rsid w:val="38B3011B"/>
    <w:rsid w:val="3B0E6379"/>
    <w:rsid w:val="3B7C01F0"/>
    <w:rsid w:val="3DFE1C1E"/>
    <w:rsid w:val="3F040CD0"/>
    <w:rsid w:val="3FD61443"/>
    <w:rsid w:val="3FFB67BF"/>
    <w:rsid w:val="44EF01C8"/>
    <w:rsid w:val="48217432"/>
    <w:rsid w:val="4CB35D7A"/>
    <w:rsid w:val="4E160D29"/>
    <w:rsid w:val="50BA36C8"/>
    <w:rsid w:val="52CD276F"/>
    <w:rsid w:val="54725195"/>
    <w:rsid w:val="547F6173"/>
    <w:rsid w:val="54C876B4"/>
    <w:rsid w:val="5553429D"/>
    <w:rsid w:val="5A5E1C81"/>
    <w:rsid w:val="5BE05A16"/>
    <w:rsid w:val="5EE45552"/>
    <w:rsid w:val="5F216694"/>
    <w:rsid w:val="62AD08AB"/>
    <w:rsid w:val="68AE7ABD"/>
    <w:rsid w:val="6B2E4DBB"/>
    <w:rsid w:val="6D280245"/>
    <w:rsid w:val="6D543698"/>
    <w:rsid w:val="6F2A3394"/>
    <w:rsid w:val="70AA3DE5"/>
    <w:rsid w:val="728746D5"/>
    <w:rsid w:val="778C5436"/>
    <w:rsid w:val="79933FA2"/>
    <w:rsid w:val="7C75692C"/>
    <w:rsid w:val="7DE21CA7"/>
    <w:rsid w:val="7FA837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48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9"/>
    <w:pPr>
      <w:keepNext/>
      <w:keepLines/>
      <w:spacing w:before="260" w:after="260" w:line="416" w:lineRule="auto"/>
      <w:outlineLvl w:val="1"/>
    </w:pPr>
    <w:rPr>
      <w:rFonts w:ascii="Calibri" w:hAnsi="Calibri" w:cs="宋体"/>
      <w:b/>
      <w:bCs/>
      <w:sz w:val="32"/>
      <w:szCs w:val="32"/>
    </w:rPr>
  </w:style>
  <w:style w:type="paragraph" w:styleId="4">
    <w:name w:val="heading 3"/>
    <w:basedOn w:val="1"/>
    <w:next w:val="1"/>
    <w:link w:val="30"/>
    <w:qFormat/>
    <w:uiPriority w:val="9"/>
    <w:pPr>
      <w:keepNext/>
      <w:keepLines/>
      <w:spacing w:before="260" w:after="260" w:line="416" w:lineRule="auto"/>
      <w:outlineLvl w:val="2"/>
    </w:pPr>
    <w:rPr>
      <w:b/>
      <w:bCs/>
      <w:sz w:val="32"/>
      <w:szCs w:val="32"/>
    </w:rPr>
  </w:style>
  <w:style w:type="paragraph" w:styleId="5">
    <w:name w:val="heading 4"/>
    <w:basedOn w:val="1"/>
    <w:next w:val="1"/>
    <w:link w:val="31"/>
    <w:qFormat/>
    <w:uiPriority w:val="9"/>
    <w:pPr>
      <w:keepNext/>
      <w:keepLines/>
      <w:spacing w:before="280" w:after="290" w:line="376" w:lineRule="auto"/>
      <w:outlineLvl w:val="3"/>
    </w:pPr>
    <w:rPr>
      <w:rFonts w:ascii="Calibri" w:hAnsi="Calibri" w:cs="宋体"/>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Date"/>
    <w:basedOn w:val="1"/>
    <w:next w:val="1"/>
    <w:link w:val="32"/>
    <w:qFormat/>
    <w:uiPriority w:val="99"/>
    <w:pPr>
      <w:ind w:left="100" w:leftChars="2500"/>
    </w:pPr>
  </w:style>
  <w:style w:type="paragraph" w:styleId="7">
    <w:name w:val="Balloon Text"/>
    <w:basedOn w:val="1"/>
    <w:link w:val="20"/>
    <w:qFormat/>
    <w:uiPriority w:val="99"/>
    <w:rPr>
      <w:sz w:val="18"/>
      <w:szCs w:val="18"/>
    </w:rPr>
  </w:style>
  <w:style w:type="paragraph" w:styleId="8">
    <w:name w:val="footer"/>
    <w:basedOn w:val="1"/>
    <w:link w:val="17"/>
    <w:qFormat/>
    <w:uiPriority w:val="99"/>
    <w:pPr>
      <w:tabs>
        <w:tab w:val="center" w:pos="4153"/>
        <w:tab w:val="right" w:pos="8306"/>
      </w:tabs>
      <w:snapToGrid w:val="0"/>
      <w:jc w:val="left"/>
    </w:pPr>
    <w:rPr>
      <w:rFonts w:ascii="Cambria" w:hAnsi="Cambria" w:eastAsia="黑体" w:cs="宋体"/>
      <w:sz w:val="18"/>
      <w:szCs w:val="18"/>
    </w:rPr>
  </w:style>
  <w:style w:type="paragraph" w:styleId="9">
    <w:name w:val="header"/>
    <w:basedOn w:val="1"/>
    <w:link w:val="16"/>
    <w:qFormat/>
    <w:uiPriority w:val="99"/>
    <w:pPr>
      <w:pBdr>
        <w:bottom w:val="single" w:color="auto" w:sz="6" w:space="1"/>
      </w:pBdr>
      <w:tabs>
        <w:tab w:val="center" w:pos="4153"/>
        <w:tab w:val="right" w:pos="8306"/>
      </w:tabs>
      <w:snapToGrid w:val="0"/>
      <w:jc w:val="center"/>
    </w:pPr>
    <w:rPr>
      <w:rFonts w:ascii="Cambria" w:hAnsi="Cambria" w:eastAsia="黑体" w:cs="宋体"/>
      <w:sz w:val="18"/>
      <w:szCs w:val="18"/>
    </w:rPr>
  </w:style>
  <w:style w:type="paragraph" w:styleId="10">
    <w:name w:val="Subtitle"/>
    <w:basedOn w:val="1"/>
    <w:next w:val="1"/>
    <w:link w:val="22"/>
    <w:qFormat/>
    <w:uiPriority w:val="11"/>
    <w:pPr>
      <w:widowControl/>
      <w:spacing w:after="200" w:line="276" w:lineRule="auto"/>
      <w:jc w:val="left"/>
    </w:pPr>
    <w:rPr>
      <w:rFonts w:ascii="Calibri" w:hAnsi="Calibri" w:cs="宋体"/>
      <w:i/>
      <w:iCs/>
      <w:color w:val="F0A22E"/>
      <w:spacing w:val="15"/>
      <w:kern w:val="0"/>
      <w:sz w:val="24"/>
    </w:rPr>
  </w:style>
  <w:style w:type="paragraph" w:styleId="11">
    <w:name w:val="Title"/>
    <w:basedOn w:val="1"/>
    <w:next w:val="1"/>
    <w:link w:val="21"/>
    <w:qFormat/>
    <w:uiPriority w:val="10"/>
    <w:pPr>
      <w:widowControl/>
      <w:pBdr>
        <w:bottom w:val="single" w:color="F0A22E" w:sz="8" w:space="4"/>
      </w:pBdr>
      <w:spacing w:after="300"/>
      <w:contextualSpacing/>
      <w:jc w:val="left"/>
    </w:pPr>
    <w:rPr>
      <w:rFonts w:ascii="Calibri" w:hAnsi="Calibri" w:cs="宋体"/>
      <w:color w:val="3B2C24"/>
      <w:spacing w:val="5"/>
      <w:kern w:val="28"/>
      <w:sz w:val="52"/>
      <w:szCs w:val="52"/>
    </w:rPr>
  </w:style>
  <w:style w:type="table" w:styleId="13">
    <w:name w:val="Table Grid"/>
    <w:basedOn w:val="12"/>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customStyle="1" w:styleId="16">
    <w:name w:val="页眉 字符"/>
    <w:basedOn w:val="14"/>
    <w:link w:val="9"/>
    <w:qFormat/>
    <w:uiPriority w:val="99"/>
    <w:rPr>
      <w:sz w:val="18"/>
      <w:szCs w:val="18"/>
    </w:rPr>
  </w:style>
  <w:style w:type="character" w:customStyle="1" w:styleId="17">
    <w:name w:val="页脚 字符"/>
    <w:basedOn w:val="14"/>
    <w:link w:val="8"/>
    <w:qFormat/>
    <w:uiPriority w:val="99"/>
    <w:rPr>
      <w:sz w:val="18"/>
      <w:szCs w:val="18"/>
    </w:rPr>
  </w:style>
  <w:style w:type="paragraph" w:customStyle="1" w:styleId="18">
    <w:name w:val="无间隔1"/>
    <w:link w:val="19"/>
    <w:qFormat/>
    <w:uiPriority w:val="1"/>
    <w:pPr>
      <w:spacing w:after="160" w:line="480" w:lineRule="auto"/>
    </w:pPr>
    <w:rPr>
      <w:rFonts w:ascii="Cambria" w:hAnsi="Cambria" w:eastAsia="黑体" w:cs="宋体"/>
      <w:sz w:val="22"/>
      <w:szCs w:val="22"/>
      <w:lang w:val="en-US" w:eastAsia="zh-CN" w:bidi="ar-SA"/>
    </w:rPr>
  </w:style>
  <w:style w:type="character" w:customStyle="1" w:styleId="19">
    <w:name w:val="无间隔 Char"/>
    <w:basedOn w:val="14"/>
    <w:link w:val="18"/>
    <w:qFormat/>
    <w:uiPriority w:val="1"/>
    <w:rPr>
      <w:kern w:val="0"/>
      <w:sz w:val="22"/>
    </w:rPr>
  </w:style>
  <w:style w:type="character" w:customStyle="1" w:styleId="20">
    <w:name w:val="批注框文本 字符"/>
    <w:basedOn w:val="14"/>
    <w:link w:val="7"/>
    <w:qFormat/>
    <w:uiPriority w:val="99"/>
    <w:rPr>
      <w:rFonts w:ascii="Times New Roman" w:hAnsi="Times New Roman" w:eastAsia="宋体" w:cs="Times New Roman"/>
      <w:sz w:val="18"/>
      <w:szCs w:val="18"/>
    </w:rPr>
  </w:style>
  <w:style w:type="character" w:customStyle="1" w:styleId="21">
    <w:name w:val="标题 字符"/>
    <w:basedOn w:val="14"/>
    <w:link w:val="11"/>
    <w:qFormat/>
    <w:uiPriority w:val="10"/>
    <w:rPr>
      <w:rFonts w:ascii="Calibri" w:hAnsi="Calibri" w:eastAsia="宋体" w:cs="宋体"/>
      <w:color w:val="3B2C24"/>
      <w:spacing w:val="5"/>
      <w:kern w:val="28"/>
      <w:sz w:val="52"/>
      <w:szCs w:val="52"/>
    </w:rPr>
  </w:style>
  <w:style w:type="character" w:customStyle="1" w:styleId="22">
    <w:name w:val="副标题 字符"/>
    <w:basedOn w:val="14"/>
    <w:link w:val="10"/>
    <w:qFormat/>
    <w:uiPriority w:val="11"/>
    <w:rPr>
      <w:rFonts w:ascii="Calibri" w:hAnsi="Calibri" w:eastAsia="宋体" w:cs="宋体"/>
      <w:i/>
      <w:iCs/>
      <w:color w:val="F0A22E"/>
      <w:spacing w:val="15"/>
      <w:kern w:val="0"/>
      <w:sz w:val="24"/>
      <w:szCs w:val="24"/>
    </w:rPr>
  </w:style>
  <w:style w:type="character" w:customStyle="1" w:styleId="23">
    <w:name w:val="Style1"/>
    <w:basedOn w:val="14"/>
    <w:qFormat/>
    <w:uiPriority w:val="1"/>
    <w:rPr>
      <w:rFonts w:ascii="Cambria" w:hAnsi="黑体" w:eastAsia="黑体" w:cs="宋体"/>
      <w:sz w:val="22"/>
      <w:szCs w:val="22"/>
      <w:lang w:eastAsia="zh-CN"/>
    </w:rPr>
  </w:style>
  <w:style w:type="character" w:customStyle="1" w:styleId="24">
    <w:name w:val="Style2"/>
    <w:basedOn w:val="14"/>
    <w:qFormat/>
    <w:uiPriority w:val="1"/>
    <w:rPr>
      <w:rFonts w:ascii="Cambria" w:hAnsi="黑体" w:eastAsia="黑体" w:cs="宋体"/>
      <w:sz w:val="22"/>
      <w:szCs w:val="22"/>
      <w:lang w:eastAsia="zh-CN"/>
    </w:rPr>
  </w:style>
  <w:style w:type="character" w:customStyle="1" w:styleId="25">
    <w:name w:val="Style3"/>
    <w:basedOn w:val="14"/>
    <w:qFormat/>
    <w:uiPriority w:val="1"/>
    <w:rPr>
      <w:rFonts w:ascii="Cambria" w:hAnsi="黑体" w:eastAsia="黑体" w:cs="宋体"/>
      <w:szCs w:val="22"/>
      <w:lang w:eastAsia="zh-CN"/>
    </w:rPr>
  </w:style>
  <w:style w:type="character" w:customStyle="1" w:styleId="26">
    <w:name w:val="Style4"/>
    <w:basedOn w:val="14"/>
    <w:qFormat/>
    <w:uiPriority w:val="1"/>
    <w:rPr>
      <w:rFonts w:ascii="Cambria" w:hAnsi="黑体" w:eastAsia="黑体" w:cs="宋体"/>
      <w:szCs w:val="22"/>
      <w:lang w:eastAsia="zh-CN"/>
    </w:rPr>
  </w:style>
  <w:style w:type="character" w:customStyle="1" w:styleId="27">
    <w:name w:val="Style5"/>
    <w:basedOn w:val="14"/>
    <w:qFormat/>
    <w:uiPriority w:val="1"/>
    <w:rPr>
      <w:rFonts w:ascii="Cambria" w:hAnsi="黑体" w:eastAsia="黑体" w:cs="宋体"/>
      <w:sz w:val="22"/>
      <w:szCs w:val="22"/>
      <w:lang w:eastAsia="zh-CN"/>
    </w:rPr>
  </w:style>
  <w:style w:type="character" w:customStyle="1" w:styleId="28">
    <w:name w:val="标题 1 字符"/>
    <w:basedOn w:val="14"/>
    <w:link w:val="2"/>
    <w:qFormat/>
    <w:uiPriority w:val="9"/>
    <w:rPr>
      <w:rFonts w:ascii="Times New Roman" w:hAnsi="Times New Roman" w:eastAsia="宋体" w:cs="Times New Roman"/>
      <w:b/>
      <w:bCs/>
      <w:kern w:val="44"/>
      <w:sz w:val="44"/>
      <w:szCs w:val="44"/>
    </w:rPr>
  </w:style>
  <w:style w:type="character" w:customStyle="1" w:styleId="29">
    <w:name w:val="标题 2 字符"/>
    <w:basedOn w:val="14"/>
    <w:link w:val="3"/>
    <w:qFormat/>
    <w:uiPriority w:val="9"/>
    <w:rPr>
      <w:rFonts w:ascii="Calibri" w:hAnsi="Calibri" w:eastAsia="宋体" w:cs="宋体"/>
      <w:b/>
      <w:bCs/>
      <w:sz w:val="32"/>
      <w:szCs w:val="32"/>
    </w:rPr>
  </w:style>
  <w:style w:type="character" w:customStyle="1" w:styleId="30">
    <w:name w:val="标题 3 字符"/>
    <w:basedOn w:val="14"/>
    <w:link w:val="4"/>
    <w:qFormat/>
    <w:uiPriority w:val="9"/>
    <w:rPr>
      <w:rFonts w:ascii="Times New Roman" w:hAnsi="Times New Roman" w:eastAsia="宋体" w:cs="Times New Roman"/>
      <w:b/>
      <w:bCs/>
      <w:sz w:val="32"/>
      <w:szCs w:val="32"/>
    </w:rPr>
  </w:style>
  <w:style w:type="character" w:customStyle="1" w:styleId="31">
    <w:name w:val="标题 4 字符"/>
    <w:basedOn w:val="14"/>
    <w:link w:val="5"/>
    <w:qFormat/>
    <w:uiPriority w:val="9"/>
    <w:rPr>
      <w:rFonts w:ascii="Calibri" w:hAnsi="Calibri" w:eastAsia="宋体" w:cs="宋体"/>
      <w:b/>
      <w:bCs/>
      <w:sz w:val="28"/>
      <w:szCs w:val="28"/>
    </w:rPr>
  </w:style>
  <w:style w:type="character" w:customStyle="1" w:styleId="32">
    <w:name w:val="日期 字符"/>
    <w:basedOn w:val="14"/>
    <w:link w:val="6"/>
    <w:qFormat/>
    <w:uiPriority w:val="99"/>
    <w:rPr>
      <w:rFonts w:ascii="Times New Roman" w:hAnsi="Times New Roman" w:eastAsia="宋体" w:cs="Times New Roman"/>
      <w:szCs w:val="24"/>
    </w:rPr>
  </w:style>
  <w:style w:type="paragraph" w:customStyle="1" w:styleId="33">
    <w:name w:val="p0"/>
    <w:basedOn w:val="1"/>
    <w:qFormat/>
    <w:uiPriority w:val="0"/>
    <w:pPr>
      <w:spacing w:beforeAutospacing="1" w:after="0" w:afterAutospacing="1" w:line="240" w:lineRule="auto"/>
    </w:pPr>
    <w:rPr>
      <w:rFonts w:ascii="宋体" w:hAnsi="宋体" w:cs="宋体" w:eastAsiaTheme="minorEastAsia"/>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3.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jpeg"/><Relationship Id="rId17" Type="http://schemas.openxmlformats.org/officeDocument/2006/relationships/chart" Target="charts/chart5.xml"/><Relationship Id="rId16" Type="http://schemas.openxmlformats.org/officeDocument/2006/relationships/chart" Target="charts/chart4.xml"/><Relationship Id="rId15" Type="http://schemas.openxmlformats.org/officeDocument/2006/relationships/chart" Target="charts/chart3.xml"/><Relationship Id="rId14" Type="http://schemas.openxmlformats.org/officeDocument/2006/relationships/chart" Target="charts/chart2.xml"/><Relationship Id="rId13" Type="http://schemas.openxmlformats.org/officeDocument/2006/relationships/chart" Target="charts/chart1.xml"/><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4712430176997"/>
          <c:y val="0.244242600988008"/>
          <c:w val="0.482696278349822"/>
          <c:h val="0.6338435978331"/>
        </c:manualLayout>
      </c:layout>
      <c:pieChart>
        <c:varyColors val="1"/>
        <c:ser>
          <c:idx val="0"/>
          <c:order val="0"/>
          <c:tx>
            <c:strRef>
              <c:f>Sheet1!$B$1</c:f>
              <c:strCache>
                <c:ptCount val="1"/>
                <c:pt idx="0">
                  <c:v>销售额</c:v>
                </c:pt>
              </c:strCache>
            </c:strRef>
          </c:tx>
          <c:explosion val="0"/>
          <c:dPt>
            <c:idx val="0"/>
            <c:bubble3D val="0"/>
          </c:dPt>
          <c:dPt>
            <c:idx val="1"/>
            <c:bubble3D val="0"/>
          </c:dPt>
          <c:dPt>
            <c:idx val="2"/>
            <c:bubble3D val="0"/>
            <c:spPr>
              <a:noFill/>
            </c:spPr>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其他收入</a:t>
                    </a:r>
                    <a:r>
                      <a:rPr lang="en-US" altLang="zh-CN"/>
                      <a:t>17.85%</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财政拨款收入</a:t>
                    </a:r>
                    <a:r>
                      <a:rPr lang="en-US" altLang="zh-CN"/>
                      <a:t>82.15%</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dLbl>
              <c:idx val="2"/>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Sheet1!$A$2:$A$4</c:f>
              <c:strCache>
                <c:ptCount val="3"/>
                <c:pt idx="0">
                  <c:v>其他收入17.85%</c:v>
                </c:pt>
                <c:pt idx="1">
                  <c:v>财政拨款收入82.15%</c:v>
                </c:pt>
                <c:pt idx="2">
                  <c:v>政府性基金
收入0%</c:v>
                </c:pt>
              </c:strCache>
            </c:strRef>
          </c:cat>
          <c:val>
            <c:numRef>
              <c:f>Sheet1!$B$2:$B$4</c:f>
              <c:numCache>
                <c:formatCode>0.00%</c:formatCode>
                <c:ptCount val="3"/>
                <c:pt idx="0">
                  <c:v>0.1785</c:v>
                </c:pt>
                <c:pt idx="1">
                  <c:v>0.8215</c:v>
                </c:pt>
                <c:pt idx="2" c:formatCode="0%">
                  <c:v>0</c:v>
                </c:pt>
              </c:numCache>
            </c:numRef>
          </c:val>
        </c:ser>
        <c:dLbls>
          <c:showLegendKey val="0"/>
          <c:showVal val="0"/>
          <c:showCatName val="0"/>
          <c:showSerName val="0"/>
          <c:showPercent val="0"/>
          <c:showBubbleSize val="0"/>
          <c:showLeaderLines val="1"/>
        </c:dLbls>
        <c:firstSliceAng val="0"/>
      </c:pieChart>
    </c:plotArea>
    <c:legend>
      <c:legendPos val="tr"/>
      <c:legendEntry>
        <c:idx val="0"/>
        <c:delete val="1"/>
      </c:legendEntry>
      <c:legendEntry>
        <c:idx val="1"/>
        <c:delete val="1"/>
      </c:legendEntry>
      <c:layout>
        <c:manualLayout>
          <c:xMode val="edge"/>
          <c:yMode val="edge"/>
          <c:x val="0.247164142943671"/>
          <c:y val="0.0897867564534231"/>
          <c:w val="0.380186284406757"/>
          <c:h val="0.157499049992489"/>
        </c:manualLayout>
      </c:layout>
      <c:overlay val="0"/>
      <c:spPr>
        <a:noFill/>
        <a:effectLst/>
      </c:spP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图2：支出构成情况</c:v>
                </c:pt>
              </c:strCache>
            </c:strRef>
          </c:tx>
          <c:explosion val="0"/>
          <c:dPt>
            <c:idx val="0"/>
            <c:bubble3D val="0"/>
          </c:dPt>
          <c:dPt>
            <c:idx val="1"/>
            <c:bubble3D val="0"/>
          </c:dPt>
          <c:dPt>
            <c:idx val="2"/>
            <c:bubble3D val="0"/>
          </c:dPt>
          <c:dPt>
            <c:idx val="3"/>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项目支出</a:t>
                    </a:r>
                    <a:r>
                      <a:rPr lang="en-US" altLang="zh-CN"/>
                      <a:t>50.65%</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基本支出</a:t>
                    </a:r>
                    <a:r>
                      <a:rPr lang="en-US" altLang="zh-CN"/>
                      <a:t>49.28%</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对附属单位补助支出</a:t>
                    </a:r>
                    <a:r>
                      <a:rPr lang="en-US" altLang="zh-CN"/>
                      <a:t>0.07%</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3"/>
                <c:pt idx="0">
                  <c:v>项目支出50.65%</c:v>
                </c:pt>
                <c:pt idx="1">
                  <c:v>基本支出49.28%</c:v>
                </c:pt>
                <c:pt idx="2">
                  <c:v>对附属单位补助支出0.07%</c:v>
                </c:pt>
              </c:strCache>
            </c:strRef>
          </c:cat>
          <c:val>
            <c:numRef>
              <c:f>Sheet1!$B$2:$B$5</c:f>
              <c:numCache>
                <c:formatCode>0.00%</c:formatCode>
                <c:ptCount val="4"/>
                <c:pt idx="0">
                  <c:v>0.5065</c:v>
                </c:pt>
                <c:pt idx="1">
                  <c:v>0.4928</c:v>
                </c:pt>
                <c:pt idx="2">
                  <c:v>0.000700000000000001</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系列 1</c:v>
                </c:pt>
              </c:strCache>
            </c:strRef>
          </c:tx>
          <c:invertIfNegative val="0"/>
          <c:dLbls>
            <c:dLbl>
              <c:idx val="0"/>
              <c:layout>
                <c:manualLayout>
                  <c:x val="2.20721424844076e-17"/>
                  <c:y val="-0.3054695562435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481579581025765"/>
                  <c:y val="-0.30134158926728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240789790512882"/>
                  <c:y val="-0.40866873065015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0.20227038183694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2018年度收入</c:v>
                </c:pt>
                <c:pt idx="1">
                  <c:v>2017年度收入</c:v>
                </c:pt>
                <c:pt idx="2">
                  <c:v>2018年度支出</c:v>
                </c:pt>
                <c:pt idx="3">
                  <c:v>2017年度支出</c:v>
                </c:pt>
              </c:strCache>
            </c:strRef>
          </c:cat>
          <c:val>
            <c:numRef>
              <c:f>Sheet1!$B$2:$B$5</c:f>
              <c:numCache>
                <c:formatCode>0.00_ </c:formatCode>
                <c:ptCount val="4"/>
                <c:pt idx="0">
                  <c:v>27275.46</c:v>
                </c:pt>
                <c:pt idx="1" c:formatCode="General">
                  <c:v>22772.62</c:v>
                </c:pt>
                <c:pt idx="2" c:formatCode="General">
                  <c:v>27801.25</c:v>
                </c:pt>
                <c:pt idx="3" c:formatCode="General">
                  <c:v>16727.81</c:v>
                </c:pt>
              </c:numCache>
            </c:numRef>
          </c:val>
        </c:ser>
        <c:dLbls>
          <c:showLegendKey val="0"/>
          <c:showVal val="0"/>
          <c:showCatName val="0"/>
          <c:showSerName val="0"/>
          <c:showPercent val="0"/>
          <c:showBubbleSize val="0"/>
        </c:dLbls>
        <c:gapWidth val="150"/>
        <c:overlap val="100"/>
        <c:axId val="147569280"/>
        <c:axId val="147583360"/>
      </c:barChart>
      <c:catAx>
        <c:axId val="147569280"/>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7583360"/>
        <c:crosses val="autoZero"/>
        <c:auto val="1"/>
        <c:lblAlgn val="ctr"/>
        <c:lblOffset val="100"/>
        <c:noMultiLvlLbl val="0"/>
      </c:catAx>
      <c:valAx>
        <c:axId val="147583360"/>
        <c:scaling>
          <c:orientation val="minMax"/>
        </c:scaling>
        <c:delete val="0"/>
        <c:axPos val="l"/>
        <c:majorGridlines/>
        <c:numFmt formatCode="0.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7569280"/>
        <c:crosses val="autoZero"/>
        <c:crossBetween val="between"/>
      </c:valAx>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系列 1</c:v>
                </c:pt>
              </c:strCache>
            </c:strRef>
          </c:tx>
          <c:invertIfNegative val="0"/>
          <c:dLbls>
            <c:dLbl>
              <c:idx val="0"/>
              <c:layout>
                <c:manualLayout>
                  <c:x val="-0.00240789790512882"/>
                  <c:y val="-0.30959752321981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30959752321981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0.30134158926728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0.40866873065015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收入预算数</c:v>
                </c:pt>
                <c:pt idx="1">
                  <c:v>收入决算数</c:v>
                </c:pt>
                <c:pt idx="2">
                  <c:v>支出预算数</c:v>
                </c:pt>
                <c:pt idx="3">
                  <c:v>支出决算数</c:v>
                </c:pt>
              </c:strCache>
            </c:strRef>
          </c:cat>
          <c:val>
            <c:numRef>
              <c:f>Sheet1!$B$2:$B$5</c:f>
              <c:numCache>
                <c:formatCode>General</c:formatCode>
                <c:ptCount val="4"/>
                <c:pt idx="0">
                  <c:v>25134.14</c:v>
                </c:pt>
                <c:pt idx="1">
                  <c:v>27275.46</c:v>
                </c:pt>
                <c:pt idx="2">
                  <c:v>25134.14</c:v>
                </c:pt>
                <c:pt idx="3">
                  <c:v>27801.25</c:v>
                </c:pt>
              </c:numCache>
            </c:numRef>
          </c:val>
        </c:ser>
        <c:ser>
          <c:idx val="1"/>
          <c:order val="1"/>
          <c:tx>
            <c:strRef>
              <c:f>Sheet1!$C$1</c:f>
              <c:strCache>
                <c:ptCount val="1"/>
                <c:pt idx="0">
                  <c:v>系列 2</c:v>
                </c:pt>
              </c:strCache>
            </c:strRef>
          </c:tx>
          <c:invertIfNegative val="0"/>
          <c:dLbls>
            <c:delete val="1"/>
          </c:dLbls>
          <c:cat>
            <c:strRef>
              <c:f>Sheet1!$A$2:$A$5</c:f>
              <c:strCache>
                <c:ptCount val="4"/>
                <c:pt idx="0">
                  <c:v>收入预算数</c:v>
                </c:pt>
                <c:pt idx="1">
                  <c:v>收入决算数</c:v>
                </c:pt>
                <c:pt idx="2">
                  <c:v>支出预算数</c:v>
                </c:pt>
                <c:pt idx="3">
                  <c:v>支出决算数</c:v>
                </c:pt>
              </c:strCache>
            </c:strRef>
          </c:cat>
          <c:val>
            <c:numRef>
              <c:f>Sheet1!$C$2:$C$5</c:f>
              <c:numCache>
                <c:formatCode>General</c:formatCode>
                <c:ptCount val="4"/>
              </c:numCache>
            </c:numRef>
          </c:val>
        </c:ser>
        <c:ser>
          <c:idx val="2"/>
          <c:order val="2"/>
          <c:tx>
            <c:strRef>
              <c:f>Sheet1!$D$1</c:f>
              <c:strCache>
                <c:ptCount val="1"/>
                <c:pt idx="0">
                  <c:v>系列 3</c:v>
                </c:pt>
              </c:strCache>
            </c:strRef>
          </c:tx>
          <c:invertIfNegative val="0"/>
          <c:dLbls>
            <c:delete val="1"/>
          </c:dLbls>
          <c:cat>
            <c:strRef>
              <c:f>Sheet1!$A$2:$A$5</c:f>
              <c:strCache>
                <c:ptCount val="4"/>
                <c:pt idx="0">
                  <c:v>收入预算数</c:v>
                </c:pt>
                <c:pt idx="1">
                  <c:v>收入决算数</c:v>
                </c:pt>
                <c:pt idx="2">
                  <c:v>支出预算数</c:v>
                </c:pt>
                <c:pt idx="3">
                  <c:v>支出决算数</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overlap val="100"/>
        <c:axId val="147619200"/>
        <c:axId val="147930496"/>
      </c:barChart>
      <c:catAx>
        <c:axId val="147619200"/>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7930496"/>
        <c:crosses val="autoZero"/>
        <c:auto val="1"/>
        <c:lblAlgn val="ctr"/>
        <c:lblOffset val="100"/>
        <c:noMultiLvlLbl val="0"/>
      </c:catAx>
      <c:valAx>
        <c:axId val="14793049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7619200"/>
        <c:crosses val="autoZero"/>
        <c:crossBetween val="between"/>
      </c:valAx>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0"/>
          <c:dPt>
            <c:idx val="0"/>
            <c:bubble3D val="0"/>
          </c:dPt>
          <c:dPt>
            <c:idx val="1"/>
            <c:bubble3D val="0"/>
          </c:dPt>
          <c:dPt>
            <c:idx val="2"/>
            <c:bubble3D val="0"/>
          </c:dPt>
          <c:dPt>
            <c:idx val="3"/>
            <c:bubble3D val="0"/>
          </c:dPt>
          <c:dPt>
            <c:idx val="4"/>
            <c:bubble3D val="0"/>
          </c:dPt>
          <c:dPt>
            <c:idx val="5"/>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Sheet1!$A$2:$A$7</c:f>
              <c:strCache>
                <c:ptCount val="6"/>
                <c:pt idx="0">
                  <c:v>节能环保支出</c:v>
                </c:pt>
                <c:pt idx="1">
                  <c:v>一般公共服务支出</c:v>
                </c:pt>
                <c:pt idx="2">
                  <c:v>教育支出</c:v>
                </c:pt>
                <c:pt idx="3">
                  <c:v>社会保障和就业支出</c:v>
                </c:pt>
                <c:pt idx="4">
                  <c:v>医疗卫生与计划生育支出</c:v>
                </c:pt>
                <c:pt idx="5">
                  <c:v>住房保障支出</c:v>
                </c:pt>
              </c:strCache>
            </c:strRef>
          </c:cat>
          <c:val>
            <c:numRef>
              <c:f>Sheet1!$B$2:$B$7</c:f>
              <c:numCache>
                <c:formatCode>0.00%</c:formatCode>
                <c:ptCount val="6"/>
                <c:pt idx="0">
                  <c:v>0.8764</c:v>
                </c:pt>
                <c:pt idx="1">
                  <c:v>0.0005</c:v>
                </c:pt>
                <c:pt idx="2">
                  <c:v>0.0014</c:v>
                </c:pt>
                <c:pt idx="3">
                  <c:v>0.0536</c:v>
                </c:pt>
                <c:pt idx="4">
                  <c:v>0.0415</c:v>
                </c:pt>
                <c:pt idx="5">
                  <c:v>0.0266</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overPageProperties xmlns="http://schemas.microsoft.com/office/2006/coverPageProps">
  <PublishDate>2017</PublishDate>
  <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44B5FB-E5E4-4E6E-BF0E-62550778147A}">
  <ds:schemaRefs/>
</ds:datastoreItem>
</file>

<file path=customXml/itemProps3.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3076</Words>
  <Characters>17535</Characters>
  <Lines>146</Lines>
  <Paragraphs>41</Paragraphs>
  <TotalTime>55</TotalTime>
  <ScaleCrop>false</ScaleCrop>
  <LinksUpToDate>false</LinksUpToDate>
  <CharactersWithSpaces>20570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2019-08-23T01:45:00Z</dcterms:created>
  <dc:creator>User</dc:creator>
  <cp:lastModifiedBy>我的文档</cp:lastModifiedBy>
  <cp:lastPrinted>2019-08-05T00:31:00Z</cp:lastPrinted>
  <dcterms:modified xsi:type="dcterms:W3CDTF">2021-07-19T09:02:50Z</dcterms:modified>
  <dc:subject>石家庄市xxx部门</dc:subject>
  <dc:title>2017年度部门决算</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3FBE3828B5DD4D9A867ADEC8173FB2CA</vt:lpwstr>
  </property>
  <property fmtid="{D5CDD505-2E9C-101B-9397-08002B2CF9AE}" pid="4" name="KSOSaveFontToCloudKey">
    <vt:lpwstr>634011645_cloud</vt:lpwstr>
  </property>
</Properties>
</file>