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ind w:left="0" w:leftChars="0" w:right="0" w:rightChars="0" w:firstLine="723" w:firstLineChars="200"/>
        <w:jc w:val="center"/>
        <w:textAlignment w:val="auto"/>
        <w:rPr>
          <w:rFonts w:hint="eastAsia"/>
          <w:b/>
          <w:bCs/>
          <w:sz w:val="36"/>
          <w:szCs w:val="36"/>
          <w:lang w:val="en-US" w:eastAsia="zh-CN"/>
        </w:rPr>
      </w:pPr>
      <w:r>
        <w:rPr>
          <w:rFonts w:hint="eastAsia"/>
          <w:b/>
          <w:bCs/>
          <w:sz w:val="36"/>
          <w:szCs w:val="36"/>
          <w:lang w:eastAsia="zh-CN"/>
        </w:rPr>
        <w:t>唐山市环境保护局</w:t>
      </w:r>
      <w:r>
        <w:rPr>
          <w:rFonts w:hint="eastAsia"/>
          <w:b/>
          <w:bCs/>
          <w:sz w:val="36"/>
          <w:szCs w:val="36"/>
          <w:lang w:val="en-US" w:eastAsia="zh-CN"/>
        </w:rPr>
        <w:t>2016年部门概况及决算说明</w:t>
      </w:r>
    </w:p>
    <w:p>
      <w:pPr>
        <w:keepNext w:val="0"/>
        <w:keepLines w:val="0"/>
        <w:pageBreakBefore w:val="0"/>
        <w:kinsoku/>
        <w:wordWrap/>
        <w:overflowPunct/>
        <w:topLinePunct w:val="0"/>
        <w:bidi w:val="0"/>
        <w:snapToGrid/>
        <w:ind w:left="0" w:leftChars="0" w:right="0" w:rightChars="0" w:firstLine="600" w:firstLineChars="200"/>
        <w:textAlignment w:val="auto"/>
        <w:rPr>
          <w:rFonts w:hint="eastAsia"/>
          <w:sz w:val="30"/>
          <w:szCs w:val="30"/>
          <w:lang w:val="en-US" w:eastAsia="zh-CN"/>
        </w:rPr>
      </w:pPr>
    </w:p>
    <w:p>
      <w:pPr>
        <w:keepNext w:val="0"/>
        <w:keepLines w:val="0"/>
        <w:pageBreakBefore w:val="0"/>
        <w:numPr>
          <w:ilvl w:val="0"/>
          <w:numId w:val="1"/>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部门职责和机构设置情况</w:t>
      </w:r>
    </w:p>
    <w:p>
      <w:pPr>
        <w:keepNext w:val="0"/>
        <w:keepLines w:val="0"/>
        <w:pageBreakBefore w:val="0"/>
        <w:numPr>
          <w:ilvl w:val="0"/>
          <w:numId w:val="0"/>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（一）部门职责</w:t>
      </w:r>
    </w:p>
    <w:p>
      <w:pPr>
        <w:jc w:val="left"/>
        <w:rPr>
          <w:rFonts w:hint="eastAsia" w:ascii="仿宋" w:hAnsi="仿宋" w:eastAsia="仿宋" w:cs="仿宋"/>
          <w:color w:val="000000"/>
          <w:sz w:val="28"/>
          <w:szCs w:val="28"/>
        </w:rPr>
      </w:pPr>
      <w:r>
        <w:rPr>
          <w:rFonts w:hint="eastAsia" w:ascii="仿宋" w:hAnsi="宋体" w:eastAsia="仿宋"/>
          <w:color w:val="000000"/>
          <w:sz w:val="28"/>
          <w:lang w:val="en-US" w:eastAsia="zh-CN"/>
        </w:rPr>
        <w:t xml:space="preserve">    </w:t>
      </w:r>
      <w:r>
        <w:rPr>
          <w:rFonts w:hint="eastAsia" w:ascii="仿宋" w:hAnsi="仿宋" w:eastAsia="仿宋" w:cs="仿宋"/>
          <w:color w:val="000000"/>
          <w:sz w:val="28"/>
          <w:szCs w:val="28"/>
        </w:rPr>
        <w:t>根据《唐山市环境保护局职能配置、内设机构和人员编制方案》规定，唐山市环境保护局的主要职责是：</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2、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3、负责落实全市污染物减排目标的责任。组织制定主要污染物排放总量控制和排污许可证制度并监督实施。提出全市总量控制的污染物名称和控制指标，督查、督办、核查各县(区)污染物减排任务完成情况，实施环境保护目标责任制、总量减排考核并公布考核结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4、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5、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7、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 </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8、负责核与辐射安全的监督管理。拟订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9、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10、负责落实全市生态市创建目标责任制。承担《唐山生态市建设规划》(规划期15年)创建规划的拟订、修订和实施工作。督查、督办、核查各县(区)生态市创建任务完成情况。</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11、开展环境保护科技工作，组织环境保护科学研究和技术工程示范，推动环境技术管理体系建设。</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12、开展环境保护对外合作交流，研究提出国际、省际、市际间环境合作中有关问题的建议，组织协调环境保护国际条约的履约工作，参与处理涉外环境保护事务。 </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13、组织指导和协调环境保护宣传教育工作，制定并组织实施环境保护宣传教育纲要，开展生态文明建设和环境友好型社会建设的有关宣传教育工作，推动社会公众和社会组织参与环境保护。</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14、承办市政府交办的其他事项。</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562" w:firstLineChars="200"/>
        <w:textAlignment w:val="auto"/>
        <w:rPr>
          <w:rFonts w:hint="eastAsia" w:cs="仿宋_GB2312" w:asciiTheme="minorEastAsia" w:hAnsiTheme="minorEastAsia" w:eastAsiaTheme="minorEastAsia"/>
          <w:b/>
          <w:bCs/>
          <w:kern w:val="0"/>
          <w:sz w:val="28"/>
          <w:szCs w:val="28"/>
          <w:lang w:eastAsia="zh-CN"/>
        </w:rPr>
      </w:pPr>
      <w:r>
        <w:rPr>
          <w:rFonts w:hint="eastAsia" w:cs="仿宋_GB2312" w:asciiTheme="minorEastAsia" w:hAnsiTheme="minorEastAsia"/>
          <w:b/>
          <w:bCs/>
          <w:kern w:val="0"/>
          <w:sz w:val="28"/>
          <w:szCs w:val="28"/>
          <w:lang w:eastAsia="zh-CN"/>
        </w:rPr>
        <w:t>（二）机构设置情况</w:t>
      </w:r>
    </w:p>
    <w:p>
      <w:pPr>
        <w:keepNext w:val="0"/>
        <w:keepLines w:val="0"/>
        <w:pageBreakBefore w:val="0"/>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唐山市环境保护局部门纳入预算管理核算单位共12个，其中：</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唐山市环境保护局为正县级行政单位，经费保障形式为财政拨款，独立核算。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唐山市环境执法监察支队为正科级参公单位，经费保障形式为财政性资金基本保证。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唐山市环境监控指挥中心为正科级参公单位，经费保障形式为财政性资金基本保证。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唐山市环境工程评估中心为全额拨款的正科级事业单位，经费保障形式为财政性资金基本保证。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唐山市环境监测中心站为全额拨款的正科级事业单位，经费保障形式为财政性资金基本保证，单独核算。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唐山市环境保护局路南分局为正科级参公单位，经费保障形式为财政性资金基本保证，单独核算。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唐山市环境保护局路北分局为正科级参公单位，经费保障形式为财政性资金基本保证，单独核算。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唐山市环境保护局古冶分局为正科级参公单位，经费保障形式为财政性资金基本保证，单独核算。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唐山市古冶区环境监测站为全额拨款事业单位，经费保障形式为财政性资金基本保证。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唐山市环境保护局开平分局为正科级参公单位，经费保障形式为财政性资金基本保证，单独核算。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唐山市环境保护局分润分局为正科级参公单位，经费保障形式为财政性资金基本保证，单独核算。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唐山市丰润区环境监测站为全额拨款事业单位，经费保障形式为财政性资金基本保证。</w:t>
      </w:r>
    </w:p>
    <w:p>
      <w:pPr>
        <w:keepNext w:val="0"/>
        <w:keepLines w:val="0"/>
        <w:pageBreakBefore w:val="0"/>
        <w:numPr>
          <w:ilvl w:val="0"/>
          <w:numId w:val="3"/>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部门决算总体情况</w:t>
      </w:r>
    </w:p>
    <w:p>
      <w:pPr>
        <w:keepNext w:val="0"/>
        <w:keepLines w:val="0"/>
        <w:pageBreakBefore w:val="0"/>
        <w:numPr>
          <w:ilvl w:val="0"/>
          <w:numId w:val="4"/>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部门2016年度上年结转和结余3755.08万元，本年收入13485.43万元，本年支出11268.27万元，年末结转和结余5972.24万元。</w:t>
      </w:r>
    </w:p>
    <w:p>
      <w:pPr>
        <w:keepNext w:val="0"/>
        <w:keepLines w:val="0"/>
        <w:pageBreakBefore w:val="0"/>
        <w:numPr>
          <w:ilvl w:val="0"/>
          <w:numId w:val="4"/>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部门2016年度一般公共预算财政拨款上年结转和结余3755.08万元，本年收入13485.43万元，本年支出11268.27万元，年末结转和结余5972.24万元。</w:t>
      </w:r>
    </w:p>
    <w:p>
      <w:pPr>
        <w:keepNext w:val="0"/>
        <w:keepLines w:val="0"/>
        <w:pageBreakBefore w:val="0"/>
        <w:numPr>
          <w:ilvl w:val="0"/>
          <w:numId w:val="4"/>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部门2016年度政府性基金预算财政拨款上年结转和结余0万元，本年收入0万元，本年支出0万元，年末结转结余0万元。</w:t>
      </w:r>
    </w:p>
    <w:p>
      <w:pPr>
        <w:keepNext w:val="0"/>
        <w:keepLines w:val="0"/>
        <w:pageBreakBefore w:val="0"/>
        <w:numPr>
          <w:ilvl w:val="0"/>
          <w:numId w:val="5"/>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机关运行经费支出情况</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ascii="仿宋" w:hAnsi="仿宋" w:eastAsia="仿宋" w:cs="仿宋"/>
          <w:sz w:val="32"/>
          <w:szCs w:val="32"/>
        </w:rPr>
      </w:pPr>
      <w:r>
        <w:rPr>
          <w:rFonts w:hint="eastAsia" w:ascii="仿宋" w:hAnsi="仿宋" w:eastAsia="仿宋" w:cs="仿宋"/>
          <w:sz w:val="30"/>
          <w:szCs w:val="30"/>
          <w:lang w:val="en-US" w:eastAsia="zh-CN"/>
        </w:rPr>
        <w:t>2016年我局机关运行经费决算为</w:t>
      </w:r>
      <w:r>
        <w:rPr>
          <w:rFonts w:hint="eastAsia" w:ascii="仿宋" w:hAnsi="仿宋" w:eastAsia="仿宋" w:cs="仿宋"/>
          <w:color w:val="auto"/>
          <w:sz w:val="30"/>
          <w:szCs w:val="30"/>
          <w:lang w:val="en-US" w:eastAsia="zh-CN"/>
        </w:rPr>
        <w:t>913.79</w:t>
      </w:r>
      <w:r>
        <w:rPr>
          <w:rFonts w:hint="eastAsia" w:ascii="仿宋" w:hAnsi="仿宋" w:eastAsia="仿宋" w:cs="仿宋"/>
          <w:sz w:val="30"/>
          <w:szCs w:val="30"/>
          <w:lang w:val="en-US" w:eastAsia="zh-CN"/>
        </w:rPr>
        <w:t>万元。</w:t>
      </w:r>
      <w:r>
        <w:rPr>
          <w:rFonts w:hint="eastAsia" w:ascii="仿宋" w:hAnsi="仿宋" w:eastAsia="仿宋" w:cs="仿宋"/>
          <w:sz w:val="32"/>
          <w:szCs w:val="32"/>
        </w:rPr>
        <w:t>机关运行经费是指各部门的公用经费，主要包括办公费、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numPr>
          <w:ilvl w:val="0"/>
          <w:numId w:val="5"/>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财政拨款“三公”经费预算情况</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2016年，财政拨款“三公”经费预算安排46.58万元，其中:因公出国（境）费7万元；无公务车购置费；公务用车运行维护费36.4万元；公务接待费3.18万元。</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2016年，财政拨款“三公”决算金额为37万元，其中:因公出国（境）费支出4.64万元（有1批共6人出国赴日本交流考察</w:t>
      </w:r>
      <w:bookmarkStart w:id="0" w:name="_GoBack"/>
      <w:bookmarkEnd w:id="0"/>
      <w:r>
        <w:rPr>
          <w:rFonts w:hint="eastAsia" w:ascii="仿宋" w:hAnsi="仿宋" w:eastAsia="仿宋" w:cs="仿宋"/>
          <w:sz w:val="30"/>
          <w:szCs w:val="30"/>
          <w:lang w:val="en-US" w:eastAsia="zh-CN"/>
        </w:rPr>
        <w:t>）；无公务车购置费支出；公务用车运行维护费支出32.36万元；无公务接待费支出。</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2016年我局“三公”经费决算较2015年决算共计减少4.53万元。其中：因公出国（境）费较2015年决算减少3.89万元；公务用车运行维护费较2015年决算减少0.64万元；公务接待费与2015年决算相同均未支出。主要原因是我部门上交部分执法执勤用车，并严格控制出国经费的支出。</w:t>
      </w:r>
    </w:p>
    <w:p>
      <w:pPr>
        <w:keepNext w:val="0"/>
        <w:keepLines w:val="0"/>
        <w:pageBreakBefore w:val="0"/>
        <w:widowControl w:val="0"/>
        <w:numPr>
          <w:ilvl w:val="0"/>
          <w:numId w:val="5"/>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绩效预算信息情况</w:t>
      </w:r>
    </w:p>
    <w:p>
      <w:pPr>
        <w:keepNext w:val="0"/>
        <w:keepLines w:val="0"/>
        <w:pageBreakBefore w:val="0"/>
        <w:widowControl w:val="0"/>
        <w:numPr>
          <w:ilvl w:val="0"/>
          <w:numId w:val="0"/>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总体绩效目标</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1、环境空气质量。</w:t>
      </w:r>
      <w:r>
        <w:rPr>
          <w:rFonts w:hint="eastAsia" w:ascii="仿宋_GB2312" w:hAnsi="仿宋" w:eastAsia="仿宋_GB2312" w:cs="仿宋"/>
          <w:sz w:val="32"/>
          <w:szCs w:val="32"/>
        </w:rPr>
        <w:t>2016年，达标天数200天，与2015年相比增加44天，空气质量改善率12.9%，超额完成省达目标（10%），在全国74个重点监控城市中排名倒数第六，比2015年进步二位，在全省大气污染防治考核中被评为优秀单位。</w:t>
      </w:r>
    </w:p>
    <w:p>
      <w:pPr>
        <w:spacing w:line="57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2、水环境质量。</w:t>
      </w:r>
      <w:r>
        <w:rPr>
          <w:rFonts w:hint="eastAsia" w:ascii="仿宋_GB2312" w:hAnsi="仿宋" w:eastAsia="仿宋_GB2312" w:cs="仿宋"/>
          <w:sz w:val="32"/>
          <w:szCs w:val="32"/>
        </w:rPr>
        <w:t>加强水污染防治工程建设，完成畜禽养殖污染治理项目117个，重点行业工业水治理项目43个，工业聚集区污水集中处理设施建设工程18个；强化饮用水源地保护，启动潘大水库网箱养鱼清理，拆解网箱3.87万箱，大黑汀水库周边4个村庄建设小型污水处理设施并铺设配套污水收集管网；实施陡河水库库区封闭工程，建设围挡95.65km，清理库区及周边坑塘养鱼1.75万亩，水库周边村庄建设污水处理站4个；开展黎河、沙河、陡河、还乡河等重点流域治理，沙河1.15万箱网箱养鱼清理全部完成；遵化城区管网疏通工程，遵化市污水处理厂提标改造工程，市区东郊、西郊、北郊污水处理厂提标改造工程和上游支流石榴河治理工程全部完成；建设石榴河沿岸生活污水处理站3个、还乡河沿岸农村污水处理站2个和玉田县乡镇生活垃圾处置工程4个。</w:t>
      </w:r>
    </w:p>
    <w:p>
      <w:pPr>
        <w:spacing w:line="570" w:lineRule="exact"/>
        <w:ind w:firstLine="588" w:firstLineChars="196"/>
        <w:rPr>
          <w:rFonts w:hint="eastAsia" w:ascii="仿宋_GB2312" w:hAnsi="仿宋" w:eastAsia="仿宋_GB2312" w:cs="仿宋"/>
          <w:sz w:val="32"/>
          <w:szCs w:val="32"/>
        </w:rPr>
      </w:pPr>
      <w:r>
        <w:rPr>
          <w:rFonts w:hint="eastAsia" w:ascii="仿宋" w:hAnsi="仿宋" w:eastAsia="仿宋" w:cs="仿宋"/>
          <w:sz w:val="30"/>
          <w:szCs w:val="30"/>
          <w:lang w:val="en-US" w:eastAsia="zh-CN"/>
        </w:rPr>
        <w:t>3、污染物减排。</w:t>
      </w:r>
      <w:r>
        <w:rPr>
          <w:rFonts w:ascii="仿宋_GB2312" w:hAnsi="仿宋" w:eastAsia="仿宋_GB2312" w:cs="仿宋"/>
          <w:sz w:val="32"/>
          <w:szCs w:val="32"/>
        </w:rPr>
        <w:t>继续实施钢铁、焦化、水泥、电力、玻璃等重点行业大气污染治理攻坚行动，从源头上减少污染物排放。</w:t>
      </w:r>
      <w:r>
        <w:rPr>
          <w:rFonts w:hint="eastAsia" w:ascii="仿宋_GB2312" w:hAnsi="仿宋" w:eastAsia="仿宋_GB2312" w:cs="仿宋"/>
          <w:sz w:val="32"/>
          <w:szCs w:val="32"/>
        </w:rPr>
        <w:t>2016年，对重点行业各工序（环节）排污点源全部进行治理设施升级改造，确保达到国家规定的排放标准，完成27项水泥企业除尘治理任务、161项钢铁企业烧结机及竖炉脱硫烟气颗粒物深度治理任务、</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项焦化企业脱硫脱硝治理任务、5项玻璃企业脱硝任务以及186家重点行业VOCs综合整治任务。</w:t>
      </w:r>
    </w:p>
    <w:p>
      <w:pPr>
        <w:keepNext w:val="0"/>
        <w:keepLines w:val="0"/>
        <w:pageBreakBefore w:val="0"/>
        <w:numPr>
          <w:ilvl w:val="0"/>
          <w:numId w:val="0"/>
        </w:numPr>
        <w:kinsoku/>
        <w:wordWrap/>
        <w:overflowPunct/>
        <w:topLinePunct w:val="0"/>
        <w:bidi w:val="0"/>
        <w:snapToGrid/>
        <w:ind w:right="0" w:rightChars="0"/>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6"/>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国有资产信息情况</w:t>
      </w:r>
    </w:p>
    <w:p>
      <w:pPr>
        <w:keepNext w:val="0"/>
        <w:keepLines w:val="0"/>
        <w:pageBreakBefore w:val="0"/>
        <w:numPr>
          <w:ilvl w:val="0"/>
          <w:numId w:val="7"/>
        </w:numPr>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截至2016年12月31日，我</w:t>
      </w:r>
      <w:r>
        <w:rPr>
          <w:rFonts w:hint="eastAsia" w:ascii="仿宋" w:hAnsi="仿宋" w:eastAsia="仿宋" w:cs="仿宋"/>
          <w:sz w:val="32"/>
          <w:szCs w:val="32"/>
          <w:lang w:eastAsia="zh-CN"/>
        </w:rPr>
        <w:t>部门</w:t>
      </w:r>
      <w:r>
        <w:rPr>
          <w:rFonts w:hint="eastAsia" w:ascii="仿宋" w:hAnsi="仿宋" w:eastAsia="仿宋" w:cs="仿宋"/>
          <w:sz w:val="32"/>
          <w:szCs w:val="32"/>
        </w:rPr>
        <w:t>资产总额为万元（具体情况见下表）。</w:t>
      </w: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tbl>
      <w:tblPr>
        <w:tblStyle w:val="6"/>
        <w:tblW w:w="13230" w:type="dxa"/>
        <w:tblInd w:w="-4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5"/>
        <w:gridCol w:w="1545"/>
        <w:gridCol w:w="1543"/>
        <w:gridCol w:w="1757"/>
        <w:gridCol w:w="1815"/>
        <w:gridCol w:w="1785"/>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7" w:hRule="atLeast"/>
        </w:trPr>
        <w:tc>
          <w:tcPr>
            <w:tcW w:w="13230" w:type="dxa"/>
            <w:gridSpan w:val="7"/>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非公共基础设施明细表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715"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资产类别</w:t>
            </w:r>
          </w:p>
        </w:tc>
        <w:tc>
          <w:tcPr>
            <w:tcW w:w="4845"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年初数</w:t>
            </w:r>
          </w:p>
        </w:tc>
        <w:tc>
          <w:tcPr>
            <w:tcW w:w="5670"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71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4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资产原值</w:t>
            </w:r>
          </w:p>
        </w:tc>
        <w:tc>
          <w:tcPr>
            <w:tcW w:w="154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累计折旧</w:t>
            </w:r>
          </w:p>
        </w:tc>
        <w:tc>
          <w:tcPr>
            <w:tcW w:w="1757"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资产净值</w:t>
            </w:r>
          </w:p>
        </w:tc>
        <w:tc>
          <w:tcPr>
            <w:tcW w:w="181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资产原值</w:t>
            </w:r>
          </w:p>
        </w:tc>
        <w:tc>
          <w:tcPr>
            <w:tcW w:w="178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累计折旧</w:t>
            </w:r>
          </w:p>
        </w:tc>
        <w:tc>
          <w:tcPr>
            <w:tcW w:w="207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2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房屋及构筑物</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9,512,413.91</w:t>
            </w:r>
          </w:p>
        </w:tc>
        <w:tc>
          <w:tcPr>
            <w:tcW w:w="15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1,929,625.46</w:t>
            </w:r>
          </w:p>
        </w:tc>
        <w:tc>
          <w:tcPr>
            <w:tcW w:w="17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7,582,788.45</w:t>
            </w:r>
          </w:p>
        </w:tc>
        <w:tc>
          <w:tcPr>
            <w:tcW w:w="18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11,452,815.76</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2,010,193.00</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9,442,622.76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1" w:hRule="atLeast"/>
        </w:trPr>
        <w:tc>
          <w:tcPr>
            <w:tcW w:w="2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通用设备</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26,179,645.23</w:t>
            </w:r>
          </w:p>
        </w:tc>
        <w:tc>
          <w:tcPr>
            <w:tcW w:w="15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840,476.00</w:t>
            </w:r>
          </w:p>
        </w:tc>
        <w:tc>
          <w:tcPr>
            <w:tcW w:w="17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25,339,169.23</w:t>
            </w:r>
          </w:p>
        </w:tc>
        <w:tc>
          <w:tcPr>
            <w:tcW w:w="18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22,785,934.66</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871,676.00</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21,914,258.66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trPr>
        <w:tc>
          <w:tcPr>
            <w:tcW w:w="2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专用设备</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82,974,885.12</w:t>
            </w:r>
          </w:p>
        </w:tc>
        <w:tc>
          <w:tcPr>
            <w:tcW w:w="15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47,827,413.71</w:t>
            </w:r>
          </w:p>
        </w:tc>
        <w:tc>
          <w:tcPr>
            <w:tcW w:w="17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35,147,471.41</w:t>
            </w:r>
          </w:p>
        </w:tc>
        <w:tc>
          <w:tcPr>
            <w:tcW w:w="18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99,358,284.12</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48,062,625.16</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51,295,658.96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2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文物和陈列品</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2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图书、档案</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3,546.00</w:t>
            </w:r>
          </w:p>
        </w:tc>
        <w:tc>
          <w:tcPr>
            <w:tcW w:w="15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3,087.00</w:t>
            </w:r>
          </w:p>
        </w:tc>
        <w:tc>
          <w:tcPr>
            <w:tcW w:w="17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459.00</w:t>
            </w:r>
          </w:p>
        </w:tc>
        <w:tc>
          <w:tcPr>
            <w:tcW w:w="18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3,546.00</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3,177.00</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8" w:hRule="atLeast"/>
        </w:trPr>
        <w:tc>
          <w:tcPr>
            <w:tcW w:w="2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家具、用具、装具及动植物</w:t>
            </w:r>
          </w:p>
        </w:tc>
        <w:tc>
          <w:tcPr>
            <w:tcW w:w="15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5,273,606.77</w:t>
            </w:r>
          </w:p>
        </w:tc>
        <w:tc>
          <w:tcPr>
            <w:tcW w:w="15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1,501,281.20</w:t>
            </w:r>
          </w:p>
        </w:tc>
        <w:tc>
          <w:tcPr>
            <w:tcW w:w="175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3,772,325.57</w:t>
            </w:r>
          </w:p>
        </w:tc>
        <w:tc>
          <w:tcPr>
            <w:tcW w:w="18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5,721,446.77</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1,860,584.89</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3,860,861.88</w:t>
            </w:r>
          </w:p>
        </w:tc>
      </w:tr>
    </w:tbl>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bidi w:val="0"/>
        <w:snapToGrid/>
        <w:spacing w:line="560" w:lineRule="exact"/>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七、专业名词解释</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1、基本支出：指为保障机构正常运转、完成日常工作任务而发生的人员支出和公用支出（正常公用和专项公用）。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3、“三公”经费：纳入市级财政预算管理的“三公”经费，是指市级部门用财政拨款安排的因公国（境）费、公务用车购置及运行费和公务接待费。其中，因公出国（境）费反映单位公务出国（境）</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、其他需说明的事项</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我局无国有资本经营</w:t>
      </w:r>
      <w:r>
        <w:rPr>
          <w:rFonts w:hint="eastAsia" w:ascii="仿宋" w:hAnsi="仿宋" w:eastAsia="仿宋" w:cs="仿宋"/>
          <w:sz w:val="32"/>
          <w:szCs w:val="32"/>
          <w:lang w:eastAsia="zh-CN"/>
        </w:rPr>
        <w:t>和政府性基金</w:t>
      </w:r>
      <w:r>
        <w:rPr>
          <w:rFonts w:hint="eastAsia" w:ascii="仿宋" w:hAnsi="仿宋" w:eastAsia="仿宋" w:cs="仿宋"/>
          <w:sz w:val="32"/>
          <w:szCs w:val="32"/>
        </w:rPr>
        <w:t>预算财政拨款收支，因此相关表格数据为零。</w:t>
      </w:r>
    </w:p>
    <w:p>
      <w:pPr>
        <w:keepNext w:val="0"/>
        <w:keepLines w:val="0"/>
        <w:pageBreakBefore w:val="0"/>
        <w:widowControl w:val="0"/>
        <w:numPr>
          <w:ilvl w:val="0"/>
          <w:numId w:val="0"/>
        </w:numPr>
        <w:kinsoku/>
        <w:wordWrap/>
        <w:overflowPunct/>
        <w:topLinePunct w:val="0"/>
        <w:bidi w:val="0"/>
        <w:snapToGrid/>
        <w:ind w:right="0" w:rightChars="0"/>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bidi w:val="0"/>
        <w:snapToGrid/>
        <w:ind w:right="0" w:rightChars="0"/>
        <w:jc w:val="both"/>
        <w:textAlignment w:val="auto"/>
        <w:rPr>
          <w:rFonts w:hint="eastAsia" w:ascii="仿宋" w:hAnsi="仿宋" w:eastAsia="仿宋" w:cs="仿宋"/>
          <w:sz w:val="30"/>
          <w:szCs w:val="30"/>
          <w:lang w:val="en-US" w:eastAsia="zh-CN"/>
        </w:rPr>
      </w:pPr>
    </w:p>
    <w:p>
      <w:pPr>
        <w:spacing w:line="360" w:lineRule="auto"/>
        <w:jc w:val="left"/>
        <w:rPr>
          <w:rFonts w:hint="eastAsia" w:ascii="宋体" w:hAnsi="宋体"/>
          <w:szCs w:val="21"/>
        </w:rPr>
      </w:pP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decorative"/>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1069"/>
    <w:multiLevelType w:val="singleLevel"/>
    <w:tmpl w:val="58F81069"/>
    <w:lvl w:ilvl="0" w:tentative="0">
      <w:start w:val="1"/>
      <w:numFmt w:val="decimal"/>
      <w:suff w:val="nothing"/>
      <w:lvlText w:val="%1、"/>
      <w:lvlJc w:val="left"/>
    </w:lvl>
  </w:abstractNum>
  <w:abstractNum w:abstractNumId="1">
    <w:nsid w:val="58F812E0"/>
    <w:multiLevelType w:val="singleLevel"/>
    <w:tmpl w:val="58F812E0"/>
    <w:lvl w:ilvl="0" w:tentative="0">
      <w:start w:val="1"/>
      <w:numFmt w:val="chineseCounting"/>
      <w:suff w:val="nothing"/>
      <w:lvlText w:val="%1、"/>
      <w:lvlJc w:val="left"/>
    </w:lvl>
  </w:abstractNum>
  <w:abstractNum w:abstractNumId="2">
    <w:nsid w:val="58F81300"/>
    <w:multiLevelType w:val="singleLevel"/>
    <w:tmpl w:val="58F81300"/>
    <w:lvl w:ilvl="0" w:tentative="0">
      <w:start w:val="2"/>
      <w:numFmt w:val="chineseCounting"/>
      <w:suff w:val="nothing"/>
      <w:lvlText w:val="%1、"/>
      <w:lvlJc w:val="left"/>
    </w:lvl>
  </w:abstractNum>
  <w:abstractNum w:abstractNumId="3">
    <w:nsid w:val="58F816D6"/>
    <w:multiLevelType w:val="singleLevel"/>
    <w:tmpl w:val="58F816D6"/>
    <w:lvl w:ilvl="0" w:tentative="0">
      <w:start w:val="3"/>
      <w:numFmt w:val="chineseCounting"/>
      <w:suff w:val="nothing"/>
      <w:lvlText w:val="%1、"/>
      <w:lvlJc w:val="left"/>
    </w:lvl>
  </w:abstractNum>
  <w:abstractNum w:abstractNumId="4">
    <w:nsid w:val="58F8225E"/>
    <w:multiLevelType w:val="singleLevel"/>
    <w:tmpl w:val="58F8225E"/>
    <w:lvl w:ilvl="0" w:tentative="0">
      <w:start w:val="6"/>
      <w:numFmt w:val="chineseCounting"/>
      <w:suff w:val="nothing"/>
      <w:lvlText w:val="%1、"/>
      <w:lvlJc w:val="left"/>
    </w:lvl>
  </w:abstractNum>
  <w:abstractNum w:abstractNumId="5">
    <w:nsid w:val="59015ABE"/>
    <w:multiLevelType w:val="singleLevel"/>
    <w:tmpl w:val="59015ABE"/>
    <w:lvl w:ilvl="0" w:tentative="0">
      <w:start w:val="1"/>
      <w:numFmt w:val="decimal"/>
      <w:suff w:val="nothing"/>
      <w:lvlText w:val="%1、"/>
      <w:lvlJc w:val="left"/>
    </w:lvl>
  </w:abstractNum>
  <w:abstractNum w:abstractNumId="6">
    <w:nsid w:val="596723D7"/>
    <w:multiLevelType w:val="singleLevel"/>
    <w:tmpl w:val="596723D7"/>
    <w:lvl w:ilvl="0" w:tentative="0">
      <w:start w:val="1"/>
      <w:numFmt w:val="decimal"/>
      <w:suff w:val="nothing"/>
      <w:lvlText w:val="%1、"/>
      <w:lvlJc w:val="left"/>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7B2237"/>
    <w:rsid w:val="017B3DF6"/>
    <w:rsid w:val="04E310AA"/>
    <w:rsid w:val="05AC635C"/>
    <w:rsid w:val="0C417D30"/>
    <w:rsid w:val="0D192D63"/>
    <w:rsid w:val="11FD6002"/>
    <w:rsid w:val="199C75CF"/>
    <w:rsid w:val="1C2E1B46"/>
    <w:rsid w:val="1DA53498"/>
    <w:rsid w:val="1E0019D0"/>
    <w:rsid w:val="21943296"/>
    <w:rsid w:val="21EA372F"/>
    <w:rsid w:val="255E56E9"/>
    <w:rsid w:val="25D45FCF"/>
    <w:rsid w:val="282C4002"/>
    <w:rsid w:val="2B1256BE"/>
    <w:rsid w:val="2B1C1478"/>
    <w:rsid w:val="305E7458"/>
    <w:rsid w:val="316D11F9"/>
    <w:rsid w:val="32E44B71"/>
    <w:rsid w:val="341761E8"/>
    <w:rsid w:val="38537052"/>
    <w:rsid w:val="3A1D75D8"/>
    <w:rsid w:val="3B442C0A"/>
    <w:rsid w:val="3C070073"/>
    <w:rsid w:val="3D795CB2"/>
    <w:rsid w:val="45AB25E6"/>
    <w:rsid w:val="49E630D5"/>
    <w:rsid w:val="4C375484"/>
    <w:rsid w:val="50D5579C"/>
    <w:rsid w:val="53226611"/>
    <w:rsid w:val="567D4453"/>
    <w:rsid w:val="5C067998"/>
    <w:rsid w:val="5EF56A1A"/>
    <w:rsid w:val="5F0F2B4A"/>
    <w:rsid w:val="61ED4A5A"/>
    <w:rsid w:val="620C57AE"/>
    <w:rsid w:val="63A5064A"/>
    <w:rsid w:val="66911C5A"/>
    <w:rsid w:val="6D931EAE"/>
    <w:rsid w:val="6FAD0CE0"/>
    <w:rsid w:val="7660395B"/>
    <w:rsid w:val="769E7470"/>
    <w:rsid w:val="7C0A6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cw</Company>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2017-04-20T01:21:00Z</dcterms:created>
  <dc:creator>马瑶瑶</dc:creator>
  <cp:lastModifiedBy>Administrator</cp:lastModifiedBy>
  <dcterms:modified xsi:type="dcterms:W3CDTF">2017-07-14T02:48:43Z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