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color w:val="000000"/>
          <w:sz w:val="72"/>
        </w:rPr>
      </w:pPr>
    </w:p>
    <w:p>
      <w:pPr>
        <w:jc w:val="center"/>
        <w:rPr>
          <w:rFonts w:ascii="宋体" w:hAnsi="宋体" w:eastAsia="宋体"/>
          <w:b/>
          <w:color w:val="000000"/>
          <w:sz w:val="72"/>
        </w:rPr>
      </w:pPr>
      <w:r>
        <w:rPr>
          <w:rFonts w:ascii="宋体" w:hAnsi="宋体" w:eastAsia="宋体"/>
          <w:b/>
          <w:color w:val="000000"/>
          <w:sz w:val="72"/>
        </w:rPr>
        <w:t>2017年唐山市部门预算</w:t>
      </w:r>
    </w:p>
    <w:p>
      <w:pPr>
        <w:jc w:val="center"/>
        <w:rPr>
          <w:rFonts w:ascii="宋体" w:hAnsi="宋体" w:eastAsia="宋体"/>
          <w:b/>
          <w:color w:val="000000"/>
          <w:sz w:val="72"/>
        </w:rPr>
      </w:pPr>
      <w:bookmarkStart w:id="27" w:name="_GoBack"/>
      <w:bookmarkEnd w:id="27"/>
    </w:p>
    <w:p>
      <w:pPr>
        <w:jc w:val="center"/>
        <w:rPr>
          <w:rFonts w:ascii="宋体" w:hAnsi="宋体" w:eastAsia="宋体"/>
          <w:b/>
          <w:color w:val="000000"/>
          <w:sz w:val="72"/>
        </w:rPr>
      </w:pPr>
    </w:p>
    <w:p>
      <w:pPr>
        <w:jc w:val="center"/>
        <w:rPr>
          <w:rFonts w:ascii="楷体" w:hAnsi="宋体" w:eastAsia="楷体"/>
          <w:b/>
          <w:color w:val="000000"/>
          <w:sz w:val="52"/>
        </w:rPr>
      </w:pPr>
      <w:r>
        <w:rPr>
          <w:rFonts w:ascii="楷体" w:hAnsi="宋体" w:eastAsia="楷体"/>
          <w:b/>
          <w:color w:val="000000"/>
          <w:sz w:val="52"/>
        </w:rPr>
        <w:t>唐山市环境保护局</w:t>
      </w: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r>
        <w:rPr>
          <w:rFonts w:ascii="楷体" w:hAnsi="宋体" w:eastAsia="楷体"/>
          <w:b/>
          <w:color w:val="000000"/>
          <w:sz w:val="52"/>
        </w:rPr>
        <w:t>唐山市环境保护局编制</w:t>
      </w:r>
    </w:p>
    <w:p>
      <w:pPr>
        <w:jc w:val="center"/>
        <w:rPr>
          <w:rFonts w:ascii="楷体" w:hAnsi="宋体" w:eastAsia="楷体"/>
          <w:b/>
          <w:color w:val="000000"/>
          <w:sz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ascii="楷体" w:hAnsi="宋体" w:eastAsia="楷体"/>
          <w:b/>
          <w:color w:val="000000"/>
          <w:sz w:val="52"/>
        </w:rPr>
        <w:t>唐山市财政局审核</w:t>
      </w:r>
    </w:p>
    <w:p>
      <w:pPr>
        <w:jc w:val="center"/>
        <w:rPr>
          <w:rFonts w:ascii="宋体" w:hAnsi="宋体" w:eastAsia="宋体"/>
          <w:b/>
          <w:color w:val="000000"/>
          <w:sz w:val="32"/>
        </w:rPr>
      </w:pPr>
      <w:r>
        <w:rPr>
          <w:rFonts w:ascii="宋体" w:hAnsi="宋体" w:eastAsia="宋体"/>
          <w:b/>
          <w:color w:val="000000"/>
          <w:sz w:val="32"/>
        </w:rPr>
        <w:t>目 录</w:t>
      </w: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pPr>
        <w:pStyle w:val="5"/>
        <w:tabs>
          <w:tab w:val="right" w:leader="dot" w:pos="8296"/>
        </w:tabs>
        <w:rPr>
          <w:rFonts w:ascii="宋体" w:hAnsi="宋体" w:eastAsia="宋体"/>
          <w:b/>
          <w:color w:val="000000"/>
          <w:sz w:val="32"/>
        </w:rPr>
      </w:pPr>
      <w:r>
        <w:fldChar w:fldCharType="begin"/>
      </w:r>
      <w:r>
        <w:instrText xml:space="preserve"> HYPERLINK \l "_Toc476241456" </w:instrText>
      </w:r>
      <w:r>
        <w:fldChar w:fldCharType="separate"/>
      </w:r>
      <w:r>
        <w:rPr>
          <w:rStyle w:val="8"/>
          <w:rFonts w:hint="eastAsia" w:ascii="宋体" w:hAnsi="宋体" w:eastAsia="宋体"/>
          <w:b/>
          <w:color w:val="000000"/>
          <w:sz w:val="32"/>
          <w:u w:val="none"/>
        </w:rPr>
        <w:t>部</w:t>
      </w:r>
      <w:r>
        <w:rPr>
          <w:rStyle w:val="8"/>
          <w:rFonts w:ascii="宋体" w:hAnsi="宋体" w:eastAsia="宋体"/>
          <w:b/>
          <w:color w:val="000000"/>
          <w:sz w:val="32"/>
          <w:u w:val="none"/>
        </w:rPr>
        <w:t xml:space="preserve"> </w:t>
      </w:r>
      <w:r>
        <w:rPr>
          <w:rStyle w:val="8"/>
          <w:rFonts w:hint="eastAsia" w:ascii="宋体" w:hAnsi="宋体" w:eastAsia="宋体"/>
          <w:b/>
          <w:color w:val="000000"/>
          <w:sz w:val="32"/>
          <w:u w:val="none"/>
        </w:rPr>
        <w:t>门</w:t>
      </w:r>
      <w:r>
        <w:rPr>
          <w:rStyle w:val="8"/>
          <w:rFonts w:ascii="宋体" w:hAnsi="宋体" w:eastAsia="宋体"/>
          <w:b/>
          <w:color w:val="000000"/>
          <w:sz w:val="32"/>
          <w:u w:val="none"/>
        </w:rPr>
        <w:t xml:space="preserve"> </w:t>
      </w:r>
      <w:r>
        <w:rPr>
          <w:rStyle w:val="8"/>
          <w:rFonts w:hint="eastAsia" w:ascii="宋体" w:hAnsi="宋体" w:eastAsia="宋体"/>
          <w:b/>
          <w:color w:val="000000"/>
          <w:sz w:val="32"/>
          <w:u w:val="none"/>
        </w:rPr>
        <w:t>概</w:t>
      </w:r>
      <w:r>
        <w:rPr>
          <w:rStyle w:val="8"/>
          <w:rFonts w:ascii="宋体" w:hAnsi="宋体" w:eastAsia="宋体"/>
          <w:b/>
          <w:color w:val="000000"/>
          <w:sz w:val="32"/>
          <w:u w:val="none"/>
        </w:rPr>
        <w:t xml:space="preserve"> </w:t>
      </w:r>
      <w:r>
        <w:rPr>
          <w:rStyle w:val="8"/>
          <w:rFonts w:hint="eastAsia" w:ascii="宋体" w:hAnsi="宋体" w:eastAsia="宋体"/>
          <w:b/>
          <w:color w:val="000000"/>
          <w:sz w:val="32"/>
          <w:u w:val="none"/>
        </w:rPr>
        <w:t>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_Toc476241456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"_Toc476241457" </w:instrText>
      </w:r>
      <w:r>
        <w:fldChar w:fldCharType="separate"/>
      </w:r>
      <w:r>
        <w:rPr>
          <w:rStyle w:val="8"/>
          <w:rFonts w:hint="eastAsia" w:ascii="宋体" w:hAnsi="宋体" w:eastAsia="宋体"/>
          <w:b/>
          <w:color w:val="000000"/>
          <w:sz w:val="32"/>
          <w:u w:val="none"/>
        </w:rPr>
        <w:t>部门职责</w:t>
      </w:r>
      <w:r>
        <w:rPr>
          <w:rStyle w:val="8"/>
          <w:rFonts w:ascii="宋体" w:hAnsi="宋体" w:eastAsia="宋体"/>
          <w:b/>
          <w:color w:val="000000"/>
          <w:sz w:val="32"/>
          <w:u w:val="none"/>
        </w:rPr>
        <w:t>-</w:t>
      </w:r>
      <w:r>
        <w:rPr>
          <w:rStyle w:val="8"/>
          <w:rFonts w:hint="eastAsia" w:ascii="宋体" w:hAnsi="宋体" w:eastAsia="宋体"/>
          <w:b/>
          <w:color w:val="000000"/>
          <w:sz w:val="32"/>
          <w:u w:val="none"/>
        </w:rPr>
        <w:t>工作活动绩效目标</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_Toc476241457 \h </w:instrText>
      </w:r>
      <w:r>
        <w:rPr>
          <w:rFonts w:ascii="宋体" w:hAnsi="宋体" w:eastAsia="宋体"/>
          <w:b/>
          <w:color w:val="000000"/>
          <w:sz w:val="32"/>
        </w:rPr>
        <w:fldChar w:fldCharType="separate"/>
      </w:r>
      <w:r>
        <w:rPr>
          <w:rFonts w:ascii="宋体" w:hAnsi="宋体" w:eastAsia="宋体"/>
          <w:b/>
          <w:color w:val="000000"/>
          <w:sz w:val="32"/>
        </w:rPr>
        <w:t>16</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"_Toc476241458" </w:instrText>
      </w:r>
      <w:r>
        <w:fldChar w:fldCharType="separate"/>
      </w:r>
      <w:r>
        <w:rPr>
          <w:rStyle w:val="8"/>
          <w:rFonts w:hint="eastAsia" w:ascii="宋体" w:hAnsi="宋体" w:eastAsia="宋体"/>
          <w:b/>
          <w:color w:val="000000"/>
          <w:sz w:val="32"/>
          <w:u w:val="none"/>
        </w:rPr>
        <w:t>部门收支预算总表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_Toc476241458 \h </w:instrText>
      </w:r>
      <w:r>
        <w:rPr>
          <w:rFonts w:ascii="宋体" w:hAnsi="宋体" w:eastAsia="宋体"/>
          <w:b/>
          <w:color w:val="000000"/>
          <w:sz w:val="32"/>
        </w:rPr>
        <w:fldChar w:fldCharType="separate"/>
      </w:r>
      <w:r>
        <w:rPr>
          <w:rFonts w:ascii="宋体" w:hAnsi="宋体" w:eastAsia="宋体"/>
          <w:b/>
          <w:color w:val="000000"/>
          <w:sz w:val="32"/>
        </w:rPr>
        <w:t>23</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"_Toc476241459" </w:instrText>
      </w:r>
      <w:r>
        <w:fldChar w:fldCharType="separate"/>
      </w:r>
      <w:r>
        <w:rPr>
          <w:rStyle w:val="8"/>
          <w:rFonts w:hint="eastAsia" w:ascii="宋体" w:hAnsi="宋体" w:eastAsia="宋体"/>
          <w:b/>
          <w:color w:val="000000"/>
          <w:sz w:val="32"/>
          <w:u w:val="none"/>
        </w:rPr>
        <w:t>部门基本支出预算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_Toc476241459 \h </w:instrText>
      </w:r>
      <w:r>
        <w:rPr>
          <w:rFonts w:ascii="宋体" w:hAnsi="宋体" w:eastAsia="宋体"/>
          <w:b/>
          <w:color w:val="000000"/>
          <w:sz w:val="32"/>
        </w:rPr>
        <w:fldChar w:fldCharType="separate"/>
      </w:r>
      <w:r>
        <w:rPr>
          <w:rFonts w:ascii="宋体" w:hAnsi="宋体" w:eastAsia="宋体"/>
          <w:b/>
          <w:color w:val="000000"/>
          <w:sz w:val="32"/>
        </w:rPr>
        <w:t>24</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"_Toc476241460" </w:instrText>
      </w:r>
      <w:r>
        <w:fldChar w:fldCharType="separate"/>
      </w:r>
      <w:r>
        <w:rPr>
          <w:rStyle w:val="8"/>
          <w:rFonts w:hint="eastAsia" w:ascii="宋体" w:hAnsi="宋体" w:eastAsia="宋体"/>
          <w:b/>
          <w:color w:val="000000"/>
          <w:sz w:val="32"/>
          <w:u w:val="none"/>
        </w:rPr>
        <w:t>部门项目支出预算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_Toc476241460 \h </w:instrText>
      </w:r>
      <w:r>
        <w:rPr>
          <w:rFonts w:ascii="宋体" w:hAnsi="宋体" w:eastAsia="宋体"/>
          <w:b/>
          <w:color w:val="000000"/>
          <w:sz w:val="32"/>
        </w:rPr>
        <w:fldChar w:fldCharType="separate"/>
      </w:r>
      <w:r>
        <w:rPr>
          <w:rFonts w:ascii="宋体" w:hAnsi="宋体" w:eastAsia="宋体"/>
          <w:b/>
          <w:color w:val="000000"/>
          <w:sz w:val="32"/>
        </w:rPr>
        <w:t>29</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"_Toc476241461" </w:instrText>
      </w:r>
      <w:r>
        <w:fldChar w:fldCharType="separate"/>
      </w:r>
      <w:r>
        <w:rPr>
          <w:rStyle w:val="8"/>
          <w:rFonts w:hint="eastAsia" w:ascii="宋体" w:hAnsi="宋体" w:eastAsia="宋体"/>
          <w:b/>
          <w:color w:val="000000"/>
          <w:sz w:val="32"/>
          <w:u w:val="none"/>
        </w:rPr>
        <w:t>部门“三公”及会议培训经费预算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_Toc476241461 \h </w:instrText>
      </w:r>
      <w:r>
        <w:rPr>
          <w:rFonts w:ascii="宋体" w:hAnsi="宋体" w:eastAsia="宋体"/>
          <w:b/>
          <w:color w:val="000000"/>
          <w:sz w:val="32"/>
        </w:rPr>
        <w:fldChar w:fldCharType="separate"/>
      </w:r>
      <w:r>
        <w:rPr>
          <w:rFonts w:ascii="宋体" w:hAnsi="宋体" w:eastAsia="宋体"/>
          <w:b/>
          <w:color w:val="000000"/>
          <w:sz w:val="32"/>
        </w:rPr>
        <w:t>31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"_Toc476241462" </w:instrText>
      </w:r>
      <w:r>
        <w:fldChar w:fldCharType="separate"/>
      </w:r>
      <w:r>
        <w:rPr>
          <w:rStyle w:val="8"/>
          <w:rFonts w:hint="eastAsia" w:ascii="宋体" w:hAnsi="宋体" w:eastAsia="宋体"/>
          <w:b/>
          <w:color w:val="000000"/>
          <w:sz w:val="32"/>
          <w:u w:val="none"/>
        </w:rPr>
        <w:t>部门政府采购预算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_Toc476241462 \h </w:instrText>
      </w:r>
      <w:r>
        <w:rPr>
          <w:rFonts w:ascii="宋体" w:hAnsi="宋体" w:eastAsia="宋体"/>
          <w:b/>
          <w:color w:val="000000"/>
          <w:sz w:val="32"/>
        </w:rPr>
        <w:fldChar w:fldCharType="separate"/>
      </w:r>
      <w:r>
        <w:rPr>
          <w:rFonts w:ascii="宋体" w:hAnsi="宋体" w:eastAsia="宋体"/>
          <w:b/>
          <w:color w:val="000000"/>
          <w:sz w:val="32"/>
        </w:rPr>
        <w:t>32</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"_Toc476241463" </w:instrText>
      </w:r>
      <w:r>
        <w:fldChar w:fldCharType="separate"/>
      </w:r>
      <w:r>
        <w:rPr>
          <w:rStyle w:val="8"/>
          <w:rFonts w:hint="eastAsia" w:ascii="宋体" w:hAnsi="宋体" w:eastAsia="宋体"/>
          <w:b/>
          <w:color w:val="000000"/>
          <w:sz w:val="32"/>
          <w:u w:val="none"/>
        </w:rPr>
        <w:t>部门组织政府非税收入预算明细表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_Toc476241463 \h </w:instrText>
      </w:r>
      <w:r>
        <w:rPr>
          <w:rFonts w:ascii="宋体" w:hAnsi="宋体" w:eastAsia="宋体"/>
          <w:b/>
          <w:color w:val="000000"/>
          <w:sz w:val="32"/>
        </w:rPr>
        <w:fldChar w:fldCharType="separate"/>
      </w:r>
      <w:r>
        <w:rPr>
          <w:rFonts w:ascii="宋体" w:hAnsi="宋体" w:eastAsia="宋体"/>
          <w:b/>
          <w:color w:val="000000"/>
          <w:sz w:val="32"/>
        </w:rPr>
        <w:t>38</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"_Toc476241464" </w:instrText>
      </w:r>
      <w:r>
        <w:fldChar w:fldCharType="separate"/>
      </w:r>
      <w:r>
        <w:rPr>
          <w:rStyle w:val="8"/>
          <w:rFonts w:hint="eastAsia" w:ascii="宋体" w:hAnsi="宋体" w:eastAsia="宋体"/>
          <w:b/>
          <w:color w:val="000000"/>
          <w:sz w:val="32"/>
          <w:u w:val="none"/>
        </w:rPr>
        <w:t>部门基本情况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_Toc476241464 \h </w:instrText>
      </w:r>
      <w:r>
        <w:rPr>
          <w:rFonts w:ascii="宋体" w:hAnsi="宋体" w:eastAsia="宋体"/>
          <w:b/>
          <w:color w:val="000000"/>
          <w:sz w:val="32"/>
        </w:rPr>
        <w:fldChar w:fldCharType="separate"/>
      </w:r>
      <w:r>
        <w:rPr>
          <w:rFonts w:ascii="宋体" w:hAnsi="宋体" w:eastAsia="宋体"/>
          <w:b/>
          <w:color w:val="000000"/>
          <w:sz w:val="32"/>
        </w:rPr>
        <w:t>39</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"_Toc476241465" </w:instrText>
      </w:r>
      <w:r>
        <w:fldChar w:fldCharType="separate"/>
      </w:r>
      <w:r>
        <w:rPr>
          <w:rStyle w:val="8"/>
          <w:rFonts w:hint="eastAsia" w:ascii="宋体" w:hAnsi="宋体" w:eastAsia="宋体"/>
          <w:b/>
          <w:color w:val="000000"/>
          <w:sz w:val="32"/>
          <w:u w:val="none"/>
        </w:rPr>
        <w:t>部门专项公用经费项目支出一览表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_Toc476241465 \h </w:instrText>
      </w:r>
      <w:r>
        <w:rPr>
          <w:rFonts w:ascii="宋体" w:hAnsi="宋体" w:eastAsia="宋体"/>
          <w:b/>
          <w:color w:val="000000"/>
          <w:sz w:val="32"/>
        </w:rPr>
        <w:fldChar w:fldCharType="separate"/>
      </w:r>
      <w:r>
        <w:rPr>
          <w:rFonts w:ascii="宋体" w:hAnsi="宋体" w:eastAsia="宋体"/>
          <w:b/>
          <w:color w:val="000000"/>
          <w:sz w:val="32"/>
        </w:rPr>
        <w:t>41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"_Toc476241466" </w:instrText>
      </w:r>
      <w:r>
        <w:fldChar w:fldCharType="separate"/>
      </w:r>
      <w:r>
        <w:rPr>
          <w:rStyle w:val="8"/>
          <w:rFonts w:hint="eastAsia" w:ascii="宋体" w:hAnsi="宋体" w:eastAsia="宋体"/>
          <w:b/>
          <w:color w:val="000000"/>
          <w:sz w:val="32"/>
          <w:u w:val="none"/>
        </w:rPr>
        <w:t>部门专项项目支出一览表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_Toc476241466 \h </w:instrText>
      </w:r>
      <w:r>
        <w:rPr>
          <w:rFonts w:ascii="宋体" w:hAnsi="宋体" w:eastAsia="宋体"/>
          <w:b/>
          <w:color w:val="000000"/>
          <w:sz w:val="32"/>
        </w:rPr>
        <w:fldChar w:fldCharType="separate"/>
      </w:r>
      <w:r>
        <w:rPr>
          <w:rFonts w:ascii="宋体" w:hAnsi="宋体" w:eastAsia="宋体"/>
          <w:b/>
          <w:color w:val="000000"/>
          <w:sz w:val="32"/>
        </w:rPr>
        <w:t>45</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"_Toc476241467" </w:instrText>
      </w:r>
      <w:r>
        <w:fldChar w:fldCharType="separate"/>
      </w:r>
      <w:r>
        <w:rPr>
          <w:rStyle w:val="8"/>
          <w:rFonts w:hint="eastAsia" w:ascii="宋体" w:hAnsi="宋体" w:eastAsia="宋体"/>
          <w:b/>
          <w:color w:val="000000"/>
          <w:sz w:val="32"/>
          <w:u w:val="none"/>
        </w:rPr>
        <w:t>一、唐山市环境保护局收支预算安排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_Toc476241467 \h </w:instrText>
      </w:r>
      <w:r>
        <w:rPr>
          <w:rFonts w:ascii="宋体" w:hAnsi="宋体" w:eastAsia="宋体"/>
          <w:b/>
          <w:color w:val="000000"/>
          <w:sz w:val="32"/>
        </w:rPr>
        <w:fldChar w:fldCharType="separate"/>
      </w:r>
      <w:r>
        <w:rPr>
          <w:rFonts w:ascii="宋体" w:hAnsi="宋体" w:eastAsia="宋体"/>
          <w:b/>
          <w:color w:val="000000"/>
          <w:sz w:val="32"/>
        </w:rPr>
        <w:t>46</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"_Toc476241468" </w:instrText>
      </w:r>
      <w:r>
        <w:fldChar w:fldCharType="separate"/>
      </w:r>
      <w:r>
        <w:rPr>
          <w:rStyle w:val="8"/>
          <w:rFonts w:hint="eastAsia" w:ascii="宋体" w:hAnsi="宋体" w:eastAsia="宋体"/>
          <w:b/>
          <w:color w:val="000000"/>
          <w:sz w:val="32"/>
          <w:u w:val="none"/>
        </w:rPr>
        <w:t>二、唐山市环境监控指挥中心收支预算安排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_Toc476241468 \h </w:instrText>
      </w:r>
      <w:r>
        <w:rPr>
          <w:rFonts w:ascii="宋体" w:hAnsi="宋体" w:eastAsia="宋体"/>
          <w:b/>
          <w:color w:val="000000"/>
          <w:sz w:val="32"/>
        </w:rPr>
        <w:fldChar w:fldCharType="separate"/>
      </w:r>
      <w:r>
        <w:rPr>
          <w:rFonts w:ascii="宋体" w:hAnsi="宋体" w:eastAsia="宋体"/>
          <w:b/>
          <w:color w:val="000000"/>
          <w:sz w:val="32"/>
        </w:rPr>
        <w:t>79</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"_Toc476241469" </w:instrText>
      </w:r>
      <w:r>
        <w:fldChar w:fldCharType="separate"/>
      </w:r>
      <w:r>
        <w:rPr>
          <w:rStyle w:val="8"/>
          <w:rFonts w:hint="eastAsia" w:ascii="宋体" w:hAnsi="宋体" w:eastAsia="宋体"/>
          <w:b/>
          <w:color w:val="000000"/>
          <w:sz w:val="32"/>
          <w:u w:val="none"/>
        </w:rPr>
        <w:t>三、唐山市环境监测中心站收支预算安排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_Toc476241469 \h </w:instrText>
      </w:r>
      <w:r>
        <w:rPr>
          <w:rFonts w:ascii="宋体" w:hAnsi="宋体" w:eastAsia="宋体"/>
          <w:b/>
          <w:color w:val="000000"/>
          <w:sz w:val="32"/>
        </w:rPr>
        <w:fldChar w:fldCharType="separate"/>
      </w:r>
      <w:r>
        <w:rPr>
          <w:rFonts w:ascii="宋体" w:hAnsi="宋体" w:eastAsia="宋体"/>
          <w:b/>
          <w:color w:val="000000"/>
          <w:sz w:val="32"/>
        </w:rPr>
        <w:t>94</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"_Toc476241470" </w:instrText>
      </w:r>
      <w:r>
        <w:fldChar w:fldCharType="separate"/>
      </w:r>
      <w:r>
        <w:rPr>
          <w:rStyle w:val="8"/>
          <w:rFonts w:hint="eastAsia" w:ascii="宋体" w:hAnsi="宋体" w:eastAsia="宋体"/>
          <w:b/>
          <w:color w:val="000000"/>
          <w:sz w:val="32"/>
          <w:u w:val="none"/>
        </w:rPr>
        <w:t>四、唐山市环境工程评估中心收支预算安排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_Toc476241470 \h </w:instrText>
      </w:r>
      <w:r>
        <w:rPr>
          <w:rFonts w:ascii="宋体" w:hAnsi="宋体" w:eastAsia="宋体"/>
          <w:b/>
          <w:color w:val="000000"/>
          <w:sz w:val="32"/>
        </w:rPr>
        <w:fldChar w:fldCharType="separate"/>
      </w:r>
      <w:r>
        <w:rPr>
          <w:rFonts w:ascii="宋体" w:hAnsi="宋体" w:eastAsia="宋体"/>
          <w:b/>
          <w:color w:val="000000"/>
          <w:sz w:val="32"/>
        </w:rPr>
        <w:t>115</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"_Toc476241471" </w:instrText>
      </w:r>
      <w:r>
        <w:fldChar w:fldCharType="separate"/>
      </w:r>
      <w:r>
        <w:rPr>
          <w:rStyle w:val="8"/>
          <w:rFonts w:hint="eastAsia" w:ascii="宋体" w:hAnsi="宋体" w:eastAsia="宋体"/>
          <w:b/>
          <w:color w:val="000000"/>
          <w:sz w:val="32"/>
          <w:u w:val="none"/>
        </w:rPr>
        <w:t>五、唐山市环境执法监察支队收支预算安排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_Toc476241471 \h </w:instrText>
      </w:r>
      <w:r>
        <w:rPr>
          <w:rFonts w:ascii="宋体" w:hAnsi="宋体" w:eastAsia="宋体"/>
          <w:b/>
          <w:color w:val="000000"/>
          <w:sz w:val="32"/>
        </w:rPr>
        <w:fldChar w:fldCharType="separate"/>
      </w:r>
      <w:r>
        <w:rPr>
          <w:rFonts w:ascii="宋体" w:hAnsi="宋体" w:eastAsia="宋体"/>
          <w:b/>
          <w:color w:val="000000"/>
          <w:sz w:val="32"/>
        </w:rPr>
        <w:t>132</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"_Toc476241472" </w:instrText>
      </w:r>
      <w:r>
        <w:fldChar w:fldCharType="separate"/>
      </w:r>
      <w:r>
        <w:rPr>
          <w:rStyle w:val="8"/>
          <w:rFonts w:hint="eastAsia" w:ascii="宋体" w:hAnsi="宋体" w:eastAsia="宋体"/>
          <w:b/>
          <w:color w:val="000000"/>
          <w:sz w:val="32"/>
          <w:u w:val="none"/>
        </w:rPr>
        <w:t>六、唐山市环境保护局路南区分局收支预算安排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_Toc476241472 \h </w:instrText>
      </w:r>
      <w:r>
        <w:rPr>
          <w:rFonts w:ascii="宋体" w:hAnsi="宋体" w:eastAsia="宋体"/>
          <w:b/>
          <w:color w:val="000000"/>
          <w:sz w:val="32"/>
        </w:rPr>
        <w:fldChar w:fldCharType="separate"/>
      </w:r>
      <w:r>
        <w:rPr>
          <w:rFonts w:ascii="宋体" w:hAnsi="宋体" w:eastAsia="宋体"/>
          <w:b/>
          <w:color w:val="000000"/>
          <w:sz w:val="32"/>
        </w:rPr>
        <w:t>150</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"_Toc476241473" </w:instrText>
      </w:r>
      <w:r>
        <w:fldChar w:fldCharType="separate"/>
      </w:r>
      <w:r>
        <w:rPr>
          <w:rStyle w:val="8"/>
          <w:rFonts w:hint="eastAsia" w:ascii="宋体" w:hAnsi="宋体" w:eastAsia="宋体"/>
          <w:b/>
          <w:color w:val="000000"/>
          <w:sz w:val="32"/>
          <w:u w:val="none"/>
        </w:rPr>
        <w:t>七、唐山市环境保护局路北区分局收支预算安排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_Toc476241473 \h </w:instrText>
      </w:r>
      <w:r>
        <w:rPr>
          <w:rFonts w:ascii="宋体" w:hAnsi="宋体" w:eastAsia="宋体"/>
          <w:b/>
          <w:color w:val="000000"/>
          <w:sz w:val="32"/>
        </w:rPr>
        <w:fldChar w:fldCharType="separate"/>
      </w:r>
      <w:r>
        <w:rPr>
          <w:rFonts w:ascii="宋体" w:hAnsi="宋体" w:eastAsia="宋体"/>
          <w:b/>
          <w:color w:val="000000"/>
          <w:sz w:val="32"/>
        </w:rPr>
        <w:t>162</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"_Toc476241474" </w:instrText>
      </w:r>
      <w:r>
        <w:fldChar w:fldCharType="separate"/>
      </w:r>
      <w:r>
        <w:rPr>
          <w:rStyle w:val="8"/>
          <w:rFonts w:hint="eastAsia" w:ascii="宋体" w:hAnsi="宋体" w:eastAsia="宋体"/>
          <w:b/>
          <w:color w:val="000000"/>
          <w:sz w:val="32"/>
          <w:u w:val="none"/>
        </w:rPr>
        <w:t>八、唐山市环境保护局古冶区分局收支预算安排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_Toc476241474 \h </w:instrText>
      </w:r>
      <w:r>
        <w:rPr>
          <w:rFonts w:ascii="宋体" w:hAnsi="宋体" w:eastAsia="宋体"/>
          <w:b/>
          <w:color w:val="000000"/>
          <w:sz w:val="32"/>
        </w:rPr>
        <w:fldChar w:fldCharType="separate"/>
      </w:r>
      <w:r>
        <w:rPr>
          <w:rFonts w:ascii="宋体" w:hAnsi="宋体" w:eastAsia="宋体"/>
          <w:b/>
          <w:color w:val="000000"/>
          <w:sz w:val="32"/>
        </w:rPr>
        <w:t>172</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"_Toc476241475" </w:instrText>
      </w:r>
      <w:r>
        <w:fldChar w:fldCharType="separate"/>
      </w:r>
      <w:r>
        <w:rPr>
          <w:rStyle w:val="8"/>
          <w:rFonts w:hint="eastAsia" w:ascii="宋体" w:hAnsi="宋体" w:eastAsia="宋体"/>
          <w:b/>
          <w:color w:val="000000"/>
          <w:sz w:val="32"/>
          <w:u w:val="none"/>
        </w:rPr>
        <w:t>九、唐山市古冶区环境监测站收支预算安排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_Toc476241475 \h </w:instrText>
      </w:r>
      <w:r>
        <w:rPr>
          <w:rFonts w:ascii="宋体" w:hAnsi="宋体" w:eastAsia="宋体"/>
          <w:b/>
          <w:color w:val="000000"/>
          <w:sz w:val="32"/>
        </w:rPr>
        <w:fldChar w:fldCharType="separate"/>
      </w:r>
      <w:r>
        <w:rPr>
          <w:rFonts w:ascii="宋体" w:hAnsi="宋体" w:eastAsia="宋体"/>
          <w:b/>
          <w:color w:val="000000"/>
          <w:sz w:val="32"/>
        </w:rPr>
        <w:t>183</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"_Toc476241476" </w:instrText>
      </w:r>
      <w:r>
        <w:fldChar w:fldCharType="separate"/>
      </w:r>
      <w:r>
        <w:rPr>
          <w:rStyle w:val="8"/>
          <w:rFonts w:hint="eastAsia" w:ascii="宋体" w:hAnsi="宋体" w:eastAsia="宋体"/>
          <w:b/>
          <w:color w:val="000000"/>
          <w:sz w:val="32"/>
          <w:u w:val="none"/>
        </w:rPr>
        <w:t>一十、唐山市环境保护局开平区分局收支预算安排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_Toc476241476 \h </w:instrText>
      </w:r>
      <w:r>
        <w:rPr>
          <w:rFonts w:ascii="宋体" w:hAnsi="宋体" w:eastAsia="宋体"/>
          <w:b/>
          <w:color w:val="000000"/>
          <w:sz w:val="32"/>
        </w:rPr>
        <w:fldChar w:fldCharType="separate"/>
      </w:r>
      <w:r>
        <w:rPr>
          <w:rFonts w:ascii="宋体" w:hAnsi="宋体" w:eastAsia="宋体"/>
          <w:b/>
          <w:color w:val="000000"/>
          <w:sz w:val="32"/>
        </w:rPr>
        <w:t>194</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"_Toc476241477" </w:instrText>
      </w:r>
      <w:r>
        <w:fldChar w:fldCharType="separate"/>
      </w:r>
      <w:r>
        <w:rPr>
          <w:rStyle w:val="8"/>
          <w:rFonts w:hint="eastAsia" w:ascii="宋体" w:hAnsi="宋体" w:eastAsia="宋体"/>
          <w:b/>
          <w:color w:val="000000"/>
          <w:sz w:val="32"/>
          <w:u w:val="none"/>
        </w:rPr>
        <w:t>一十一、唐山市环境保护局丰润分局收支预算安排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_Toc476241477 \h </w:instrText>
      </w:r>
      <w:r>
        <w:rPr>
          <w:rFonts w:ascii="宋体" w:hAnsi="宋体" w:eastAsia="宋体"/>
          <w:b/>
          <w:color w:val="000000"/>
          <w:sz w:val="32"/>
        </w:rPr>
        <w:fldChar w:fldCharType="separate"/>
      </w:r>
      <w:r>
        <w:rPr>
          <w:rFonts w:ascii="宋体" w:hAnsi="宋体" w:eastAsia="宋体"/>
          <w:b/>
          <w:color w:val="000000"/>
          <w:sz w:val="32"/>
        </w:rPr>
        <w:t>206</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"_Toc476241478" </w:instrText>
      </w:r>
      <w:r>
        <w:fldChar w:fldCharType="separate"/>
      </w:r>
      <w:r>
        <w:rPr>
          <w:rStyle w:val="8"/>
          <w:rFonts w:hint="eastAsia" w:ascii="宋体" w:hAnsi="宋体" w:eastAsia="宋体"/>
          <w:b/>
          <w:color w:val="000000"/>
          <w:sz w:val="32"/>
          <w:u w:val="none"/>
        </w:rPr>
        <w:t>一十二、唐山市环境保护局丰润分局环境监测站收支预算安排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_Toc476241478 \h </w:instrText>
      </w:r>
      <w:r>
        <w:rPr>
          <w:rFonts w:ascii="宋体" w:hAnsi="宋体" w:eastAsia="宋体"/>
          <w:b/>
          <w:color w:val="000000"/>
          <w:sz w:val="32"/>
        </w:rPr>
        <w:fldChar w:fldCharType="separate"/>
      </w:r>
      <w:r>
        <w:rPr>
          <w:rFonts w:ascii="宋体" w:hAnsi="宋体" w:eastAsia="宋体"/>
          <w:b/>
          <w:color w:val="000000"/>
          <w:sz w:val="32"/>
        </w:rPr>
        <w:t>219</w:t>
      </w:r>
      <w:r>
        <w:rPr>
          <w:rFonts w:ascii="宋体" w:hAnsi="宋体" w:eastAsia="宋体"/>
          <w:b/>
          <w:color w:val="000000"/>
          <w:sz w:val="32"/>
        </w:rPr>
        <w:fldChar w:fldCharType="end"/>
      </w:r>
      <w:r>
        <w:rPr>
          <w:rFonts w:ascii="宋体" w:hAnsi="宋体" w:eastAsia="宋体"/>
          <w:b/>
          <w:color w:val="000000"/>
          <w:sz w:val="32"/>
        </w:rPr>
        <w:fldChar w:fldCharType="end"/>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宋体" w:hAnsi="宋体" w:eastAsia="宋体"/>
          <w:b/>
          <w:color w:val="000000"/>
          <w:sz w:val="32"/>
        </w:rPr>
        <w:fldChar w:fldCharType="end"/>
      </w:r>
    </w:p>
    <w:p>
      <w:pPr>
        <w:pStyle w:val="2"/>
        <w:jc w:val="center"/>
      </w:pPr>
      <w:bookmarkStart w:id="0" w:name="_Toc476241456"/>
      <w:r>
        <w:t>部 门 概 况</w:t>
      </w:r>
      <w:bookmarkEnd w:id="0"/>
    </w:p>
    <w:p>
      <w:pPr>
        <w:jc w:val="left"/>
        <w:rPr>
          <w:rFonts w:ascii="宋体" w:hAnsi="宋体" w:eastAsia="宋体"/>
          <w:b/>
          <w:color w:val="000000"/>
          <w:sz w:val="28"/>
        </w:rPr>
      </w:pPr>
      <w:r>
        <w:rPr>
          <w:rFonts w:ascii="宋体" w:hAnsi="宋体" w:eastAsia="宋体"/>
          <w:b/>
          <w:color w:val="000000"/>
          <w:sz w:val="28"/>
        </w:rPr>
        <w:t>一、唐山市环境保护局主要职责</w:t>
      </w:r>
    </w:p>
    <w:p>
      <w:pPr>
        <w:jc w:val="left"/>
        <w:rPr>
          <w:rFonts w:ascii="仿宋" w:hAnsi="宋体" w:eastAsia="仿宋"/>
          <w:color w:val="000000"/>
          <w:sz w:val="28"/>
        </w:rPr>
      </w:pPr>
      <w:r>
        <w:rPr>
          <w:rFonts w:hint="eastAsia" w:ascii="仿宋" w:hAnsi="宋体" w:eastAsia="仿宋"/>
          <w:color w:val="000000"/>
          <w:sz w:val="28"/>
        </w:rPr>
        <w:t xml:space="preserve">    </w:t>
      </w:r>
      <w:r>
        <w:rPr>
          <w:rFonts w:ascii="仿宋" w:hAnsi="宋体" w:eastAsia="仿宋"/>
          <w:color w:val="000000"/>
          <w:sz w:val="28"/>
        </w:rPr>
        <w:t>根据《唐山市环境保护局职能配置、内设机构和人员编制方案》规定，唐山市环境保护局的主要职责是：</w:t>
      </w:r>
    </w:p>
    <w:p>
      <w:pPr>
        <w:spacing w:line="360" w:lineRule="auto"/>
        <w:ind w:firstLine="420" w:firstLineChars="200"/>
        <w:jc w:val="left"/>
        <w:rPr>
          <w:rFonts w:ascii="宋体" w:hAnsi="宋体"/>
          <w:szCs w:val="21"/>
        </w:rPr>
      </w:pPr>
      <w:r>
        <w:rPr>
          <w:rFonts w:hint="eastAsia" w:ascii="宋体" w:hAnsi="宋体"/>
          <w:szCs w:val="21"/>
        </w:rPr>
        <w:t xml:space="preserve"> 1、负责建立健全环境保护基本制度。拟订并组织实施全市环境保护政策、规划，起草地方规范性文件草案。组织编制环境功能区划，组织制定环境保护地方性标准、基准和技术规范，组织拟订并监督实施重点区域、流域污染防治规划和饮用水水源地环境保护规划，参与制定全市主体功能区划。</w:t>
      </w:r>
    </w:p>
    <w:p>
      <w:pPr>
        <w:spacing w:line="360" w:lineRule="auto"/>
        <w:ind w:firstLine="420" w:firstLineChars="200"/>
        <w:jc w:val="left"/>
        <w:rPr>
          <w:rFonts w:ascii="宋体" w:hAnsi="宋体"/>
          <w:szCs w:val="21"/>
        </w:rPr>
      </w:pPr>
      <w:r>
        <w:rPr>
          <w:rFonts w:hint="eastAsia" w:ascii="宋体" w:hAnsi="宋体"/>
          <w:szCs w:val="21"/>
        </w:rPr>
        <w:t xml:space="preserve"> 2、负责重大环境问题的统筹协调和监督管理。牵头协调市内重特大环境污染事故和生态破坏事件的调查处理，指导协调县、区政府对重特大突发环境事件的应急、预警工作，协调解决有关跨区域环境污染纠纷，统筹协调全市重点流域、区域污染防治工作。</w:t>
      </w:r>
    </w:p>
    <w:p>
      <w:pPr>
        <w:spacing w:line="360" w:lineRule="auto"/>
        <w:ind w:firstLine="420" w:firstLineChars="200"/>
        <w:jc w:val="left"/>
        <w:rPr>
          <w:rFonts w:ascii="宋体" w:hAnsi="宋体"/>
          <w:szCs w:val="21"/>
        </w:rPr>
      </w:pPr>
      <w:r>
        <w:rPr>
          <w:rFonts w:hint="eastAsia" w:ascii="宋体" w:hAnsi="宋体"/>
          <w:szCs w:val="21"/>
        </w:rPr>
        <w:t xml:space="preserve"> 3、负责落实全市污染物减排目标的责任。组织制定主要污染物排放总量控制和排污许可证制度并监督实施。提出全市总量控制的污染物名称和控制指标，督查、督办、核查各县(区)污染物减排任务完成情况，实施环境保护目标责任制、总量减排考核并公布考核结果。</w:t>
      </w:r>
    </w:p>
    <w:p>
      <w:pPr>
        <w:spacing w:line="360" w:lineRule="auto"/>
        <w:ind w:firstLine="420" w:firstLineChars="200"/>
        <w:jc w:val="left"/>
        <w:rPr>
          <w:rFonts w:ascii="宋体" w:hAnsi="宋体"/>
          <w:szCs w:val="21"/>
        </w:rPr>
      </w:pPr>
      <w:r>
        <w:rPr>
          <w:rFonts w:hint="eastAsia" w:ascii="宋体" w:hAnsi="宋体"/>
          <w:szCs w:val="21"/>
        </w:rPr>
        <w:t xml:space="preserve"> 4、负责提出环境保护领域固定资产投资规模和方向、市级财政性资金的安排意见，按市政府规定权限，审批、核准全市规划内和年度计划规模内固定资产投资项目，并配合有关部门做好组织实施和监督工作。参与指导和推动全市循环经济与环保产业发展，参与应对气候变化工作。</w:t>
      </w:r>
    </w:p>
    <w:p>
      <w:pPr>
        <w:spacing w:line="360" w:lineRule="auto"/>
        <w:ind w:firstLine="420" w:firstLineChars="200"/>
        <w:jc w:val="left"/>
        <w:rPr>
          <w:rFonts w:ascii="宋体" w:hAnsi="宋体"/>
          <w:szCs w:val="21"/>
        </w:rPr>
      </w:pPr>
      <w:r>
        <w:rPr>
          <w:rFonts w:hint="eastAsia" w:ascii="宋体" w:hAnsi="宋体"/>
          <w:szCs w:val="21"/>
        </w:rPr>
        <w:t xml:space="preserve"> 5、承担从源头上预防、控制环境污染和环境破坏的责任。受市政府委托对重大经济和技术政策、发展规划以及重大经济开发计划进行环境影响评价，对涉及环境保护的地方规范性文件提出有关环境影响方面的意见：按国家和省规定审批重大开发建设区域、项目环境影响评价文件。</w:t>
      </w:r>
    </w:p>
    <w:p>
      <w:pPr>
        <w:spacing w:line="360" w:lineRule="auto"/>
        <w:ind w:firstLine="420" w:firstLineChars="200"/>
        <w:jc w:val="left"/>
        <w:rPr>
          <w:rFonts w:ascii="宋体" w:hAnsi="宋体"/>
          <w:szCs w:val="21"/>
        </w:rPr>
      </w:pPr>
      <w:r>
        <w:rPr>
          <w:rFonts w:hint="eastAsia" w:ascii="宋体" w:hAnsi="宋体"/>
          <w:szCs w:val="21"/>
        </w:rPr>
        <w:t>6、负责环境污染防治的监督管理。制定水体、大气、土壤、噪声、光、恶臭、固体废物、化学品、机动车等的污染防治管理制度并组织实施，会同有关部门监督管理饮用水水源地环境保护工作，组织指导城镇和农村的环境综合整治工作。组织全市主要河流跨县(区)界的断面水质目标责任考核。</w:t>
      </w:r>
    </w:p>
    <w:p>
      <w:pPr>
        <w:spacing w:line="360" w:lineRule="auto"/>
        <w:ind w:firstLine="420" w:firstLineChars="200"/>
        <w:jc w:val="left"/>
        <w:rPr>
          <w:rFonts w:ascii="宋体" w:hAnsi="宋体"/>
          <w:szCs w:val="21"/>
        </w:rPr>
      </w:pPr>
      <w:r>
        <w:rPr>
          <w:rFonts w:hint="eastAsia" w:ascii="宋体" w:hAnsi="宋体"/>
          <w:szCs w:val="21"/>
        </w:rPr>
        <w:t xml:space="preserve">7、指导、协调、监督生态保护工作。拟订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协调指导农村生态环境保护，监督生物技术环境安全，牵头生物物种(含遗传资源)工作，组织协调生物多样性保护。 </w:t>
      </w:r>
    </w:p>
    <w:p>
      <w:pPr>
        <w:spacing w:line="360" w:lineRule="auto"/>
        <w:ind w:firstLine="420" w:firstLineChars="200"/>
        <w:jc w:val="left"/>
        <w:rPr>
          <w:rFonts w:ascii="宋体" w:hAnsi="宋体"/>
          <w:szCs w:val="21"/>
        </w:rPr>
      </w:pPr>
      <w:r>
        <w:rPr>
          <w:rFonts w:hint="eastAsia" w:ascii="宋体" w:hAnsi="宋体"/>
          <w:szCs w:val="21"/>
        </w:rPr>
        <w:t xml:space="preserve"> 8、负责核与辐射安全的监督管理。拟订有关政策、规划、标准，参与核事故应急处理，负责辐射环境事故应急处理工作。监督管理核设施安全、放射源安全，监督管理核设施、核技术应用、电磁辐射、伴有放射性矿产资源开发利用中的污染防治。对核材料的管制和民用核安全设备的设计、制造、安装和无损检验活动实施监督管理。</w:t>
      </w:r>
    </w:p>
    <w:p>
      <w:pPr>
        <w:spacing w:line="360" w:lineRule="auto"/>
        <w:ind w:firstLine="420" w:firstLineChars="200"/>
        <w:jc w:val="left"/>
        <w:rPr>
          <w:rFonts w:ascii="宋体" w:hAnsi="宋体"/>
          <w:szCs w:val="21"/>
        </w:rPr>
      </w:pPr>
      <w:r>
        <w:rPr>
          <w:rFonts w:hint="eastAsia" w:ascii="宋体" w:hAnsi="宋体"/>
          <w:szCs w:val="21"/>
        </w:rPr>
        <w:t>9、负责环境监测和信息发布。制定环境监测制度和规范，组织实施环境质量监测和污染源监督性监测。组织对环境质量状况进行调查评估、预测预警，组织建设和管理市级环境监测网和全市环境信息网，建立和实行环境质量公告制度，统一发布全市环境综合性报告、年度环境状况公报和重大环境信息。</w:t>
      </w:r>
    </w:p>
    <w:p>
      <w:pPr>
        <w:spacing w:line="360" w:lineRule="auto"/>
        <w:ind w:firstLine="420" w:firstLineChars="200"/>
        <w:jc w:val="left"/>
        <w:rPr>
          <w:rFonts w:ascii="宋体" w:hAnsi="宋体"/>
          <w:szCs w:val="21"/>
        </w:rPr>
      </w:pPr>
      <w:r>
        <w:rPr>
          <w:rFonts w:hint="eastAsia" w:ascii="宋体" w:hAnsi="宋体"/>
          <w:szCs w:val="21"/>
        </w:rPr>
        <w:t>10、负责落实全市生态市创建目标责任制。承担《唐山生态市建设规划》(规划期15年)创建规划的拟订、修订和实施工作。督查、督办、核查各县(区)生态市创建任务完成情况。</w:t>
      </w:r>
    </w:p>
    <w:p>
      <w:pPr>
        <w:spacing w:line="360" w:lineRule="auto"/>
        <w:ind w:firstLine="420" w:firstLineChars="200"/>
        <w:jc w:val="left"/>
        <w:rPr>
          <w:rFonts w:ascii="宋体" w:hAnsi="宋体"/>
          <w:szCs w:val="21"/>
        </w:rPr>
      </w:pPr>
      <w:r>
        <w:rPr>
          <w:rFonts w:hint="eastAsia" w:ascii="宋体" w:hAnsi="宋体"/>
          <w:szCs w:val="21"/>
        </w:rPr>
        <w:t xml:space="preserve"> 11、开展环境保护科技工作，组织环境保护科学研究和技术工程示范，推动环境技术管理体系建设。</w:t>
      </w:r>
    </w:p>
    <w:p>
      <w:pPr>
        <w:spacing w:line="360" w:lineRule="auto"/>
        <w:ind w:firstLine="420" w:firstLineChars="200"/>
        <w:jc w:val="left"/>
        <w:rPr>
          <w:rFonts w:ascii="宋体" w:hAnsi="宋体"/>
          <w:szCs w:val="21"/>
        </w:rPr>
      </w:pPr>
      <w:r>
        <w:rPr>
          <w:rFonts w:hint="eastAsia" w:ascii="宋体" w:hAnsi="宋体"/>
          <w:szCs w:val="21"/>
        </w:rPr>
        <w:t xml:space="preserve"> 12、开展环境保护对外合作交流，研究提出国际、省际、市际间环境合作中有关问题的建议，组织协调环境保护国际条约的履约工作，参与处理涉外环境保护事务。 </w:t>
      </w:r>
    </w:p>
    <w:p>
      <w:pPr>
        <w:spacing w:line="360" w:lineRule="auto"/>
        <w:ind w:firstLine="420" w:firstLineChars="200"/>
        <w:jc w:val="left"/>
        <w:rPr>
          <w:rFonts w:ascii="宋体" w:hAnsi="宋体"/>
          <w:szCs w:val="21"/>
        </w:rPr>
      </w:pPr>
      <w:r>
        <w:rPr>
          <w:rFonts w:hint="eastAsia" w:ascii="宋体" w:hAnsi="宋体"/>
          <w:szCs w:val="21"/>
        </w:rPr>
        <w:t xml:space="preserve"> 13、组织指导和协调环境保护宣传教育工作，制定并组织实施环境保护宣传教育纲要，开展生态文明建设和环境友好型社会建设的有关宣传教育工作，推动社会公众和社会组织参与环境保护。</w:t>
      </w:r>
    </w:p>
    <w:p>
      <w:pPr>
        <w:spacing w:line="360" w:lineRule="auto"/>
        <w:jc w:val="left"/>
        <w:rPr>
          <w:rFonts w:ascii="仿宋" w:hAnsi="宋体" w:eastAsia="仿宋"/>
          <w:color w:val="000000"/>
          <w:sz w:val="28"/>
        </w:rPr>
      </w:pPr>
      <w:r>
        <w:rPr>
          <w:rFonts w:hint="eastAsia" w:ascii="宋体" w:hAnsi="宋体"/>
          <w:szCs w:val="21"/>
        </w:rPr>
        <w:t xml:space="preserve">  14、承办市政府交办的其他事项。</w:t>
      </w:r>
    </w:p>
    <w:p>
      <w:pPr>
        <w:spacing w:line="360" w:lineRule="auto"/>
        <w:ind w:firstLine="200"/>
        <w:rPr>
          <w:rFonts w:ascii="宋体" w:hAnsi="宋体"/>
          <w:szCs w:val="21"/>
        </w:rPr>
      </w:pPr>
    </w:p>
    <w:p/>
    <w:p/>
    <w:p>
      <w:pPr>
        <w:jc w:val="left"/>
        <w:rPr>
          <w:rFonts w:ascii="宋体" w:hAnsi="宋体" w:eastAsia="宋体"/>
          <w:b/>
          <w:color w:val="000000"/>
          <w:sz w:val="28"/>
        </w:rPr>
      </w:pPr>
      <w:r>
        <w:rPr>
          <w:rFonts w:ascii="宋体" w:hAnsi="宋体" w:eastAsia="宋体"/>
          <w:b/>
          <w:color w:val="000000"/>
          <w:sz w:val="28"/>
        </w:rPr>
        <w:t>二、唐山市环境保护局2017年主要任务及目标规划</w:t>
      </w:r>
    </w:p>
    <w:p>
      <w:pPr>
        <w:jc w:val="left"/>
        <w:rPr>
          <w:rFonts w:ascii="仿宋" w:hAnsi="仿宋" w:eastAsia="仿宋"/>
          <w:color w:val="000000"/>
          <w:sz w:val="28"/>
        </w:rPr>
      </w:pPr>
      <w:r>
        <w:rPr>
          <w:rFonts w:hint="eastAsia" w:ascii="仿宋" w:hAnsi="仿宋" w:eastAsia="仿宋"/>
          <w:color w:val="000000"/>
          <w:sz w:val="28"/>
        </w:rPr>
        <w:t xml:space="preserve">    </w:t>
      </w:r>
      <w:r>
        <w:rPr>
          <w:rFonts w:ascii="仿宋" w:hAnsi="仿宋" w:eastAsia="仿宋"/>
          <w:color w:val="000000"/>
          <w:sz w:val="28"/>
        </w:rPr>
        <w:t>2017年，唐山市环境保护局将重点做好以下工作：</w:t>
      </w:r>
    </w:p>
    <w:p>
      <w:pPr>
        <w:spacing w:line="360" w:lineRule="auto"/>
        <w:ind w:firstLine="420" w:firstLineChars="200"/>
        <w:jc w:val="left"/>
        <w:rPr>
          <w:rFonts w:ascii="宋体" w:hAnsi="宋体"/>
          <w:szCs w:val="21"/>
        </w:rPr>
      </w:pPr>
      <w:r>
        <w:rPr>
          <w:rFonts w:hint="eastAsia" w:ascii="宋体" w:hAnsi="宋体"/>
          <w:szCs w:val="21"/>
        </w:rPr>
        <w:t>1、发挥源头控制作用。将二氧化硫、氮氧化物、化学需氧量、氨氮和烟粉尘排放是否符合总量控制要求作为建设项目环境影响评价审批的前置条件。在现有四项污染物排污权交易基础上，推行烟粉尘排污交易，推动企业初始排污权分配及有偿使用，启动商业银行与企业之间排污权质押贷款试点工作，更好地发挥市场在环境资源配置中的决定性作用。开展工业园区和产业发展规划环评，严格审查项目选址，限制审批产能过剩行业，限制审批未进行规划环评、污水处理厂和集中供热设施没有建成投运的工业园区（聚集区）建设项目，促进产业结构调整和发展方式转变。</w:t>
      </w:r>
    </w:p>
    <w:p>
      <w:pPr>
        <w:spacing w:line="360" w:lineRule="auto"/>
        <w:ind w:firstLine="420" w:firstLineChars="200"/>
        <w:jc w:val="left"/>
        <w:rPr>
          <w:rFonts w:ascii="宋体" w:hAnsi="宋体"/>
          <w:szCs w:val="21"/>
        </w:rPr>
      </w:pPr>
      <w:r>
        <w:rPr>
          <w:rFonts w:hint="eastAsia" w:ascii="宋体" w:hAnsi="宋体"/>
          <w:szCs w:val="21"/>
        </w:rPr>
        <w:t xml:space="preserve"> 2、开展重点行业治理。按照《唐山市钢铁焦化水泥电力玻璃行业大气污染治理攻坚行动方案》要求，推进钢铁、焦化、电力、水泥、玻璃等行业的脱硫、脱硝和除尘改造，6月底前，符合产业政策的钢铁企业球团竖炉全部完成脱硫设施建设。12月底前，所有钢铁企业余热、余压、余气实现全工艺过程回收利用，符合产业政策的烧结机机头和球团竖炉生产设备完成现有除尘设施升级改造，颗粒物达到特别排放限值（40毫克/立方米）要求；继续推进焦化企业综合整治，6月底前完成干熄焦及废水膜处理改造；电力行业企业所有燃煤机组完成现有除尘设施升级改造，6月底前颗粒物达到特别排放限值（20毫克/立方米）要求；12月底前，所有水泥行业（包括粉磨站）收尘设备全部改为高效袋式除尘；玻璃行业完成生产线煤改气与脱硫脱硝工程建设。</w:t>
      </w:r>
    </w:p>
    <w:p>
      <w:pPr>
        <w:spacing w:line="360" w:lineRule="auto"/>
        <w:ind w:firstLine="420" w:firstLineChars="200"/>
        <w:jc w:val="left"/>
        <w:rPr>
          <w:rFonts w:ascii="宋体" w:hAnsi="宋体"/>
          <w:szCs w:val="21"/>
        </w:rPr>
      </w:pPr>
      <w:r>
        <w:rPr>
          <w:rFonts w:hint="eastAsia" w:ascii="宋体" w:hAnsi="宋体"/>
          <w:szCs w:val="21"/>
        </w:rPr>
        <w:t xml:space="preserve"> 3、开展重点区域治理。强化采石场、独立烧结竖炉、独立轧钢等行业环境污染专项整治。对完成环保专项整治任务并申请验收的采石场、独立烧结竖炉、独立轧钢、石灰生产企业会同工信、质监等部门进行联合验收。对未按要求如期完成整治任务或未通过联合验收的企业，责成所在县（市）区政府、开发区（管理区）管委会依法实施断电停产治理，暂扣企业排污许可证、生产许可证，并函告金融、质监、工商、工信等部门实施相关政策限制。</w:t>
      </w:r>
    </w:p>
    <w:p>
      <w:pPr>
        <w:spacing w:line="360" w:lineRule="auto"/>
        <w:ind w:firstLine="420" w:firstLineChars="200"/>
        <w:jc w:val="left"/>
        <w:rPr>
          <w:rFonts w:ascii="宋体" w:hAnsi="宋体"/>
          <w:szCs w:val="21"/>
        </w:rPr>
      </w:pPr>
      <w:r>
        <w:rPr>
          <w:rFonts w:hint="eastAsia" w:ascii="宋体" w:hAnsi="宋体"/>
          <w:szCs w:val="21"/>
        </w:rPr>
        <w:t xml:space="preserve"> 4、实施点源、面源治理。一是推进燃煤锅炉整治。通过集中供热、“煤改气”、“煤改电”等措施推进燃煤锅炉整治，10月底前完成市中心区257台燃煤锅炉拆除或能源置换；其他县（市）区也要制订2014年锅炉淘汰的具体任务并组织实施。二是强化餐饮行业污染治理。12月底前，主城区及县城建成区餐饮行业全部安装高效油烟净化设施，取缔燃煤大灶。三是推进挥发性有机物综合治理。在完成基础数据调查的基础上编制挥发性有机物治理实施方案，有序推进有机化工、医药、塑料制品和包装印刷等重点行业挥发性有机物治理。四是加强对市区、县城建成区及周边干散料场整治，6月底前，所有煤堆、散料堆、配煤场所等全部实现封闭储存。五是加快低硫煤经销站点建设。根据城乡居民生活需求，合理布局建设适量低硫煤经销站点，各县（市）区完成低硫煤经销站点设立。</w:t>
      </w:r>
    </w:p>
    <w:p>
      <w:pPr>
        <w:spacing w:line="360" w:lineRule="auto"/>
        <w:ind w:firstLine="420" w:firstLineChars="200"/>
        <w:jc w:val="left"/>
        <w:rPr>
          <w:rFonts w:ascii="宋体" w:hAnsi="宋体"/>
          <w:szCs w:val="21"/>
        </w:rPr>
      </w:pPr>
      <w:r>
        <w:rPr>
          <w:rFonts w:hint="eastAsia" w:ascii="宋体" w:hAnsi="宋体"/>
          <w:szCs w:val="21"/>
        </w:rPr>
        <w:t xml:space="preserve"> 5、强化主要污染物减排。安排重点减排项目450个，其中工业减排项目100个，重点推动电力、水泥行业脱硝工程建设，提前一年完成“十二五”电力、水泥企业脱硝任务；规模化畜禽养殖治理项目350个，推动减少30%以上养殖专业户。同时，推进机动车污染防治，配合公安等部门淘汰2.5万辆黄标车，9月底前城市建成区全面实施黄标车限行。加强机动车环保定期检验和环保标志核发工作，完善机动车尾气监控平台建设，2014年10月底前在全市全面推行简易工况法检测。</w:t>
      </w:r>
    </w:p>
    <w:p>
      <w:pPr>
        <w:spacing w:line="360" w:lineRule="auto"/>
        <w:ind w:firstLine="420" w:firstLineChars="200"/>
        <w:jc w:val="left"/>
        <w:rPr>
          <w:rFonts w:ascii="宋体" w:hAnsi="宋体"/>
          <w:szCs w:val="21"/>
        </w:rPr>
      </w:pPr>
      <w:r>
        <w:rPr>
          <w:rFonts w:hint="eastAsia" w:ascii="宋体" w:hAnsi="宋体"/>
          <w:szCs w:val="21"/>
        </w:rPr>
        <w:t xml:space="preserve"> 6、开展水环境综合整治。加强饮用水源地保护，完成陡河水库二级保护区内6个乡镇72个行政村的生活污水、生活垃圾、畜禽养殖污染综合治理；完成全市乡（镇）以上集中式饮用水水源保护区的划定。加强滦河、还乡河等重点河流、重点流域水污染防治，强化主要河流跨县界断面水质断面考核，推进重点水污染治理项目建设，完成42个重点水污染治理项目。完成陡河沿线污水处理厂提标改造、污水管网建设、企业污染治理、河道综合治理等16项工程建设和开工建设2015年需要完成3个工程项目。</w:t>
      </w:r>
    </w:p>
    <w:p>
      <w:pPr>
        <w:spacing w:line="360" w:lineRule="auto"/>
        <w:ind w:firstLine="420" w:firstLineChars="200"/>
        <w:jc w:val="left"/>
        <w:rPr>
          <w:rFonts w:ascii="宋体" w:hAnsi="宋体"/>
          <w:szCs w:val="21"/>
        </w:rPr>
      </w:pPr>
      <w:r>
        <w:rPr>
          <w:rFonts w:hint="eastAsia" w:ascii="宋体" w:hAnsi="宋体"/>
          <w:szCs w:val="21"/>
        </w:rPr>
        <w:t xml:space="preserve"> 7、提升科技监管能力。加快“智慧环保”建设，继续推进在线监测扩面和县（市）区监控指挥中心建设，强化在线监测设施和污染源自动监控系统运行管理的监督性检查，确保纳入国家考核的102家国控企业污染源自动监控数据传输有效率达到75%以上。充分发挥污染源自动监控系统在排污费征收、行政处罚等环境监督管理工作中的作用。推进重点污染源二氧化硫、氮氧化物和颗粒物在线监测能力建设和钢铁、焦化、电力、城市污水处理厂工况监控系统建设。</w:t>
      </w:r>
    </w:p>
    <w:p>
      <w:pPr>
        <w:spacing w:line="360" w:lineRule="auto"/>
        <w:ind w:firstLine="420" w:firstLineChars="200"/>
        <w:jc w:val="left"/>
        <w:rPr>
          <w:rFonts w:ascii="宋体" w:hAnsi="宋体"/>
          <w:szCs w:val="21"/>
        </w:rPr>
      </w:pPr>
      <w:r>
        <w:rPr>
          <w:rFonts w:hint="eastAsia" w:ascii="宋体" w:hAnsi="宋体"/>
          <w:szCs w:val="21"/>
        </w:rPr>
        <w:t xml:space="preserve"> 8、强化环境执法监察。继续开展“打击环境违法犯罪、利剑斩污”攻坚战和保障群众健康环保专项行动，加强与公安部门的协调联动，建立常态化夜间巡查暗访工作制度和联合执法、区域执法、交叉执法工作机制，加大巡查暗访力度，对涉嫌犯罪的及时向公安部门移交，确保行政处罚和环境违法行为整改到位。规范排污费申报、征收和稽查程序，确保排污费依法、足额、全面、及时征收，实现排污费征收规范化管理。畅通12369环保举报电话，落实环境信息公开和有奖举报制度，加大信访查处力度，着力解决一批重点地区、重点行业、重点部位的环境突出问题。</w:t>
      </w:r>
    </w:p>
    <w:p>
      <w:pPr>
        <w:spacing w:line="360" w:lineRule="auto"/>
        <w:ind w:firstLine="420" w:firstLineChars="200"/>
        <w:jc w:val="left"/>
        <w:rPr>
          <w:rFonts w:ascii="宋体" w:hAnsi="宋体"/>
          <w:szCs w:val="21"/>
        </w:rPr>
      </w:pPr>
      <w:r>
        <w:rPr>
          <w:rFonts w:hint="eastAsia" w:ascii="宋体" w:hAnsi="宋体"/>
          <w:szCs w:val="21"/>
        </w:rPr>
        <w:t xml:space="preserve"> 9、加强辐射管理。贯彻落实《河北省辐射污染防治条例》，提高县（市）区辐射监管能力建设。以新购放射源和辐射安全许可证延续为抓手，强化辐射类建设项目验收，理顺辐射项目管理程序。扎实开展辐射执法检查，彻底摸清放射源底数，规范企业辐射管理行为。继续推进废旧金属熔炼企业辐射监测系统建设和推进放射源在线监控工作，利用科技手段实现放射源的可防可控。进一步强化废旧放射源的送储工作，消除环境安全隐患。</w:t>
      </w:r>
    </w:p>
    <w:p/>
    <w:p>
      <w:pPr>
        <w:numPr>
          <w:ilvl w:val="0"/>
          <w:numId w:val="1"/>
        </w:numPr>
        <w:jc w:val="left"/>
        <w:rPr>
          <w:rFonts w:ascii="宋体" w:hAnsi="宋体" w:eastAsia="宋体"/>
          <w:b/>
          <w:color w:val="000000"/>
          <w:sz w:val="28"/>
        </w:rPr>
      </w:pPr>
      <w:r>
        <w:rPr>
          <w:rFonts w:ascii="宋体" w:hAnsi="宋体" w:eastAsia="宋体"/>
          <w:b/>
          <w:color w:val="000000"/>
          <w:sz w:val="28"/>
        </w:rPr>
        <w:t>唐山市环境保护局规划目标保障措施</w:t>
      </w:r>
    </w:p>
    <w:p>
      <w:pPr>
        <w:spacing w:line="360" w:lineRule="auto"/>
        <w:ind w:firstLine="420" w:firstLineChars="200"/>
        <w:jc w:val="left"/>
        <w:rPr>
          <w:rFonts w:ascii="宋体" w:hAnsi="宋体"/>
          <w:szCs w:val="21"/>
        </w:rPr>
      </w:pPr>
      <w:r>
        <w:rPr>
          <w:rFonts w:hint="eastAsia" w:ascii="宋体" w:hAnsi="宋体"/>
          <w:szCs w:val="21"/>
        </w:rPr>
        <w:t>1、开展大气污染防治。一是深化重点行业治理。组织实施40家钢铁企业全部产尘点除尘设施升级改造和精细化治理，有效收集烟粉尘，确保在稳定达标排放基础上，进一步实现超低排放；</w:t>
      </w:r>
      <w:r>
        <w:rPr>
          <w:rFonts w:hint="eastAsia" w:ascii="宋体" w:hAnsi="宋体"/>
          <w:szCs w:val="21"/>
          <w:lang w:val="zh-CN"/>
        </w:rPr>
        <w:t>继续推进焦化行业焦炉烟气脱硫脱硝工程建设，2016年未完成工程建设的焦化企业在2017年6月底前完成；鼓励全市</w:t>
      </w:r>
      <w:r>
        <w:rPr>
          <w:rFonts w:hint="eastAsia" w:ascii="宋体" w:hAnsi="宋体"/>
          <w:szCs w:val="21"/>
        </w:rPr>
        <w:t>轧钢、耐火、热镀等行业的176台煤气发生炉和6座燃煤热风炉，改用天然气等清洁能源，力争完成30%。二是推进燃煤锅炉改造。对全市范围内113台燃煤锅炉进行脱硝治理，对部分锅炉进行脱硫设施改造，治理完成后，保留的燃煤锅炉全部安装在线监测设施并与环保部门联网。三是</w:t>
      </w:r>
      <w:r>
        <w:rPr>
          <w:rFonts w:ascii="宋体" w:hAnsi="宋体"/>
          <w:szCs w:val="21"/>
        </w:rPr>
        <w:t>全面整治散</w:t>
      </w:r>
      <w:r>
        <w:rPr>
          <w:rFonts w:hint="eastAsia" w:ascii="宋体" w:hAnsi="宋体"/>
          <w:szCs w:val="21"/>
        </w:rPr>
        <w:t>煤</w:t>
      </w:r>
      <w:r>
        <w:rPr>
          <w:rFonts w:ascii="宋体" w:hAnsi="宋体"/>
          <w:szCs w:val="21"/>
        </w:rPr>
        <w:t>堆场。</w:t>
      </w:r>
      <w:r>
        <w:rPr>
          <w:rFonts w:hint="eastAsia" w:ascii="宋体" w:hAnsi="宋体"/>
          <w:szCs w:val="21"/>
        </w:rPr>
        <w:t>对19</w:t>
      </w:r>
      <w:r>
        <w:rPr>
          <w:rFonts w:hint="eastAsia" w:ascii="宋体" w:hAnsi="宋体"/>
          <w:szCs w:val="21"/>
          <w:lang w:val="zh-CN"/>
        </w:rPr>
        <w:t>家散煤堆场开展治理，要求</w:t>
      </w:r>
      <w:r>
        <w:rPr>
          <w:rFonts w:hint="eastAsia" w:ascii="宋体" w:hAnsi="宋体"/>
          <w:szCs w:val="21"/>
        </w:rPr>
        <w:t>建储存棚（带喷淋）或13米以上挡风抑尘墙（苫盖带喷淋）及车辆冲洗排水设备。四是推进VOCs污染防治。</w:t>
      </w:r>
      <w:r>
        <w:rPr>
          <w:rFonts w:hint="eastAsia" w:ascii="宋体" w:hAnsi="宋体"/>
          <w:szCs w:val="21"/>
          <w:lang w:val="zh-CN"/>
        </w:rPr>
        <w:t>对</w:t>
      </w:r>
      <w:r>
        <w:rPr>
          <w:rFonts w:hint="eastAsia" w:ascii="宋体" w:hAnsi="宋体"/>
          <w:szCs w:val="21"/>
        </w:rPr>
        <w:t>68</w:t>
      </w:r>
      <w:r>
        <w:rPr>
          <w:rFonts w:hint="eastAsia" w:ascii="宋体" w:hAnsi="宋体"/>
          <w:szCs w:val="21"/>
          <w:lang w:val="zh-CN"/>
        </w:rPr>
        <w:t>家汽修、塑料和表面涂装企业开展</w:t>
      </w:r>
      <w:r>
        <w:rPr>
          <w:rFonts w:hint="eastAsia" w:ascii="宋体" w:hAnsi="宋体"/>
          <w:szCs w:val="21"/>
        </w:rPr>
        <w:t>挥发性有机污染物（VOCs）综合整治，确保污染物排放达标。五</w:t>
      </w:r>
      <w:r>
        <w:rPr>
          <w:rFonts w:ascii="宋体" w:hAnsi="宋体"/>
          <w:szCs w:val="21"/>
        </w:rPr>
        <w:t>是加强机动车环保管理。继续推进黄标车、老旧车淘汰工作，严格环保定期检验，开展道路行驶车辆环保达标监测</w:t>
      </w:r>
      <w:r>
        <w:rPr>
          <w:rFonts w:hint="eastAsia" w:ascii="宋体" w:hAnsi="宋体"/>
          <w:szCs w:val="21"/>
        </w:rPr>
        <w:t>和</w:t>
      </w:r>
      <w:r>
        <w:rPr>
          <w:rFonts w:ascii="宋体" w:hAnsi="宋体"/>
          <w:szCs w:val="21"/>
        </w:rPr>
        <w:t>机动车环检机构专项核查整治，依法查处违法违规行为。</w:t>
      </w:r>
    </w:p>
    <w:p>
      <w:pPr>
        <w:spacing w:line="360" w:lineRule="auto"/>
        <w:ind w:firstLine="420" w:firstLineChars="200"/>
        <w:jc w:val="left"/>
        <w:rPr>
          <w:rFonts w:ascii="宋体" w:hAnsi="宋体"/>
          <w:szCs w:val="21"/>
          <w:lang w:val="zh-CN"/>
        </w:rPr>
      </w:pPr>
      <w:r>
        <w:rPr>
          <w:rFonts w:hint="eastAsia" w:ascii="宋体" w:hAnsi="宋体"/>
          <w:szCs w:val="21"/>
        </w:rPr>
        <w:t>2、</w:t>
      </w:r>
      <w:r>
        <w:rPr>
          <w:rFonts w:ascii="宋体" w:hAnsi="宋体"/>
          <w:szCs w:val="21"/>
        </w:rPr>
        <w:t>全面实施水污染防治。</w:t>
      </w:r>
      <w:r>
        <w:rPr>
          <w:rFonts w:hint="eastAsia" w:ascii="宋体" w:hAnsi="宋体"/>
          <w:szCs w:val="21"/>
        </w:rPr>
        <w:t>一是</w:t>
      </w:r>
      <w:r>
        <w:rPr>
          <w:rFonts w:hint="eastAsia" w:ascii="宋体" w:hAnsi="宋体"/>
          <w:szCs w:val="21"/>
          <w:lang w:val="zh-CN"/>
        </w:rPr>
        <w:t>继续推进重点河流综合整治。</w:t>
      </w:r>
      <w:r>
        <w:rPr>
          <w:rFonts w:hint="eastAsia" w:ascii="宋体" w:hAnsi="宋体"/>
          <w:szCs w:val="21"/>
        </w:rPr>
        <w:t>落实重点河流水体达标方案，推进还乡河、沙河、陡河（石榴河）等重点河流以及潘家口、大黑汀和陡河水库的综合整治，持续改善水体环境质量，国控、省控河流断面稳定达到环境功能区划目标要求。</w:t>
      </w:r>
      <w:r>
        <w:rPr>
          <w:rFonts w:hint="eastAsia" w:ascii="宋体" w:hAnsi="宋体"/>
          <w:szCs w:val="21"/>
          <w:lang w:val="zh-CN"/>
        </w:rPr>
        <w:t>二是强化饮用水源地保护工作。</w:t>
      </w:r>
      <w:r>
        <w:rPr>
          <w:rFonts w:hint="eastAsia" w:ascii="宋体" w:hAnsi="宋体"/>
          <w:szCs w:val="21"/>
        </w:rPr>
        <w:t>完成市区及县城区饮用水水源保护区划定和勘界工作，规范集中式饮用水水源保护区建设。开展集中式饮用水水源保护区基础调查与评估，建立饮用水安全风险源档案，完善风险应急方案，建立联防联控应急机制，确保饮用水源稳定达标。</w:t>
      </w:r>
      <w:r>
        <w:rPr>
          <w:rFonts w:hint="eastAsia" w:ascii="宋体" w:hAnsi="宋体"/>
          <w:szCs w:val="21"/>
          <w:lang w:val="zh-CN"/>
        </w:rPr>
        <w:t>三是严格控制工业污染。</w:t>
      </w:r>
      <w:r>
        <w:rPr>
          <w:rFonts w:hint="eastAsia" w:ascii="宋体" w:hAnsi="宋体"/>
          <w:szCs w:val="21"/>
        </w:rPr>
        <w:t>实施 “十大”重点行业水污染专项整治。全面排查工业园区外涉水工业企业，推进企业入园，深化园外企业污水深度处理，实行最严格的排放标准。推进工业园区污水处理厂建设，全市所有工业园区（工业集聚区）全部建成污水集中处理设施，并安装自动在线监控装置。</w:t>
      </w:r>
      <w:r>
        <w:rPr>
          <w:rFonts w:hint="eastAsia" w:ascii="宋体" w:hAnsi="宋体"/>
          <w:szCs w:val="21"/>
          <w:lang w:val="zh-CN"/>
        </w:rPr>
        <w:t>四是推进农村环境综合治理。</w:t>
      </w:r>
      <w:r>
        <w:rPr>
          <w:rFonts w:hint="eastAsia" w:ascii="宋体" w:hAnsi="宋体"/>
          <w:szCs w:val="21"/>
        </w:rPr>
        <w:t>依法关闭或搬迁禁养区内的畜禽养殖场（小区）和养殖专业户，推进规模化畜禽养殖污染治理。以“傍水农村”环境综合整治为突破口，全面实施农村垃圾处置和生活污水治理等农村清洁工程，消灭农村污水、垃圾直排入河乱象。</w:t>
      </w:r>
      <w:r>
        <w:rPr>
          <w:rFonts w:hint="eastAsia" w:ascii="宋体" w:hAnsi="宋体"/>
          <w:szCs w:val="21"/>
          <w:lang w:val="zh-CN"/>
        </w:rPr>
        <w:t>五是开展地下水污染防治。</w:t>
      </w:r>
      <w:r>
        <w:rPr>
          <w:rFonts w:hint="eastAsia" w:ascii="宋体" w:hAnsi="宋体"/>
          <w:szCs w:val="21"/>
        </w:rPr>
        <w:t>调查评估集中式地下水型饮用水水源补给区环境状况。启动石化生产存贮销售企业和工业园区（工业集聚区）、矿山开采区、垃圾填埋场等区域的地下水基础状况调查。推进加油站地下油罐全部更新为双层油罐或完成防渗池设置工作。</w:t>
      </w:r>
    </w:p>
    <w:p>
      <w:pPr>
        <w:spacing w:line="360" w:lineRule="auto"/>
        <w:ind w:firstLine="420" w:firstLineChars="200"/>
        <w:jc w:val="left"/>
        <w:rPr>
          <w:rFonts w:ascii="宋体" w:hAnsi="宋体"/>
          <w:szCs w:val="21"/>
          <w:lang w:val="zh-CN"/>
        </w:rPr>
      </w:pPr>
      <w:r>
        <w:rPr>
          <w:rFonts w:hint="eastAsia" w:ascii="宋体" w:hAnsi="宋体"/>
          <w:szCs w:val="21"/>
        </w:rPr>
        <w:t>3、</w:t>
      </w:r>
      <w:r>
        <w:rPr>
          <w:rFonts w:ascii="宋体" w:hAnsi="宋体"/>
          <w:szCs w:val="21"/>
        </w:rPr>
        <w:t>开展土壤污染防治。</w:t>
      </w:r>
      <w:r>
        <w:rPr>
          <w:rFonts w:ascii="宋体" w:hAnsi="宋体"/>
          <w:szCs w:val="21"/>
          <w:lang w:val="zh-CN"/>
        </w:rPr>
        <w:t>配合省环保厅开展《河北省土壤污染防治行动计划》的基础调查，起草《唐山市土壤污染防治工作方案》。配合即将出台的《河北省土壤污染防治行动计划》中的具体工作安排，开展我市范围内的土壤环境质量国控监测点位布设、配合编制河北省土壤污染状况详查方案唐山涉及内容。</w:t>
      </w:r>
    </w:p>
    <w:p>
      <w:pPr>
        <w:spacing w:line="360" w:lineRule="auto"/>
        <w:ind w:firstLine="420" w:firstLineChars="200"/>
        <w:jc w:val="left"/>
        <w:rPr>
          <w:rFonts w:ascii="宋体" w:hAnsi="宋体"/>
          <w:szCs w:val="21"/>
          <w:lang w:val="zh-CN"/>
        </w:rPr>
      </w:pPr>
      <w:r>
        <w:rPr>
          <w:rFonts w:hint="eastAsia" w:ascii="宋体" w:hAnsi="宋体"/>
          <w:szCs w:val="21"/>
        </w:rPr>
        <w:t>4、</w:t>
      </w:r>
      <w:r>
        <w:rPr>
          <w:rFonts w:ascii="宋体" w:hAnsi="宋体"/>
          <w:szCs w:val="21"/>
        </w:rPr>
        <w:t>加强执法监管。</w:t>
      </w:r>
      <w:r>
        <w:rPr>
          <w:rFonts w:hint="eastAsia" w:ascii="宋体" w:hAnsi="宋体"/>
          <w:szCs w:val="21"/>
          <w:lang w:val="zh-CN"/>
        </w:rPr>
        <w:t>继续实施污染源环境监管</w:t>
      </w:r>
      <w:r>
        <w:rPr>
          <w:rFonts w:ascii="宋体" w:hAnsi="宋体"/>
          <w:szCs w:val="21"/>
          <w:lang w:val="zh-CN"/>
        </w:rPr>
        <w:t>“</w:t>
      </w:r>
      <w:r>
        <w:rPr>
          <w:rFonts w:hint="eastAsia" w:ascii="宋体" w:hAnsi="宋体"/>
          <w:szCs w:val="21"/>
          <w:lang w:val="zh-CN"/>
        </w:rPr>
        <w:t>双随机抽查</w:t>
      </w:r>
      <w:r>
        <w:rPr>
          <w:rFonts w:ascii="宋体" w:hAnsi="宋体"/>
          <w:szCs w:val="21"/>
          <w:lang w:val="zh-CN"/>
        </w:rPr>
        <w:t>”</w:t>
      </w:r>
      <w:r>
        <w:rPr>
          <w:rFonts w:hint="eastAsia" w:ascii="宋体" w:hAnsi="宋体"/>
          <w:szCs w:val="21"/>
          <w:lang w:val="zh-CN"/>
        </w:rPr>
        <w:t>制度，组织开展各类环保专项行动，加大执法巡查力度，对群众反映的环境违法问题及时进行查处，坚决遏制各类环境违法行为。深化网格化环境监管体系工作，强化政府环境监管主体责任和企业环境保护社会主体责任，加强各相关职能部门之间的协调联动，推动开展区域间的联合环境执法，扩大群众监督范围，强化企业自律管理。</w:t>
      </w:r>
    </w:p>
    <w:p>
      <w:pPr>
        <w:spacing w:line="360" w:lineRule="auto"/>
        <w:ind w:firstLine="420" w:firstLineChars="200"/>
        <w:jc w:val="left"/>
        <w:rPr>
          <w:rFonts w:ascii="宋体" w:hAnsi="宋体"/>
          <w:szCs w:val="21"/>
        </w:rPr>
      </w:pPr>
      <w:r>
        <w:rPr>
          <w:rFonts w:hint="eastAsia" w:ascii="宋体" w:hAnsi="宋体"/>
          <w:szCs w:val="21"/>
        </w:rPr>
        <w:t>5、深化生态环保领域改革。</w:t>
      </w:r>
      <w:r>
        <w:rPr>
          <w:rFonts w:ascii="宋体" w:hAnsi="宋体"/>
          <w:szCs w:val="21"/>
        </w:rPr>
        <w:t>一是推进“智慧环保”建设。以改善环境空气质量为核心，加强唐山市网格化监管平台监管,充分发挥网格化监管平台在污染源在线监控、大数据动态分析的优势，进一步提升我市精准治污、科学治污水平;充分运用信息化手段进行系统整合，实现数据资源共享，实现环境信息资源的高效利用。二是编制唐山市空气质量限期达标规划。加强与清华大学环境学院的对接合作，充分引用清华大学在大气污染防治方面雄厚的科研力量，对我市大气污染工作进行系统研究，开展唐山市大气污染物来源解析工作</w:t>
      </w:r>
      <w:r>
        <w:rPr>
          <w:rFonts w:hint="eastAsia" w:ascii="宋体" w:hAnsi="宋体"/>
          <w:szCs w:val="21"/>
        </w:rPr>
        <w:t>，</w:t>
      </w:r>
      <w:r>
        <w:rPr>
          <w:rFonts w:ascii="宋体" w:hAnsi="宋体"/>
          <w:szCs w:val="21"/>
        </w:rPr>
        <w:t>列出我市大气污染物排放清单，完成空气质量限期达标规划。三是强化“高架源”监管。加强“高架源”企业固定污染源在线监测设施的规范性建设和正常运行，对不能稳定达标排放的高架源企业，实施整改措施。四是推行科技执法。不断探索创新执法模式，充分运用无人机等科技手段，依托环境监察信息化控制平台，建设环境立体监管指挥系统，对环境问题实行精准管控。同时，加快推进钢铁、焦化企业厂界PM2.5、PM10远程执法监控，建设污染源远程执法系统，实现对全市重点监控企业的远程执法。五是实施工业企业生产调控措施。每年11月至次年</w:t>
      </w:r>
      <w:r>
        <w:rPr>
          <w:rFonts w:hint="eastAsia" w:ascii="宋体" w:hAnsi="宋体"/>
          <w:szCs w:val="21"/>
        </w:rPr>
        <w:t>3</w:t>
      </w:r>
      <w:r>
        <w:rPr>
          <w:rFonts w:ascii="宋体" w:hAnsi="宋体"/>
          <w:szCs w:val="21"/>
        </w:rPr>
        <w:t>月，对工业企业实施错峰生产。同时，根据季节变化和重污染天气应急管理要求，对主要污染物实施精准管控，探索全年对钢铁、焦化、水泥、</w:t>
      </w:r>
      <w:r>
        <w:rPr>
          <w:rFonts w:hint="eastAsia" w:ascii="宋体" w:hAnsi="宋体"/>
          <w:szCs w:val="21"/>
        </w:rPr>
        <w:t>电力、</w:t>
      </w:r>
      <w:r>
        <w:rPr>
          <w:rFonts w:ascii="宋体" w:hAnsi="宋体"/>
          <w:szCs w:val="21"/>
        </w:rPr>
        <w:t>铸造</w:t>
      </w:r>
      <w:r>
        <w:rPr>
          <w:rFonts w:hint="eastAsia" w:ascii="宋体" w:hAnsi="宋体"/>
          <w:szCs w:val="21"/>
        </w:rPr>
        <w:t>、玻璃</w:t>
      </w:r>
      <w:r>
        <w:rPr>
          <w:rFonts w:ascii="宋体" w:hAnsi="宋体"/>
          <w:szCs w:val="21"/>
        </w:rPr>
        <w:t>等工业企业实施错峰生产。对未能如期完成治理改造任务、未实现达标排放的高架源企业，在重污染天气应急和错峰生产期间一律停产，并向社会公布企业名单。</w:t>
      </w:r>
    </w:p>
    <w:p>
      <w:pPr>
        <w:jc w:val="left"/>
        <w:rPr>
          <w:rFonts w:ascii="宋体" w:hAnsi="宋体" w:eastAsia="宋体"/>
          <w:b/>
          <w:color w:val="000000"/>
          <w:sz w:val="28"/>
        </w:rPr>
      </w:pPr>
    </w:p>
    <w:p/>
    <w:p>
      <w:pPr>
        <w:numPr>
          <w:ilvl w:val="0"/>
          <w:numId w:val="2"/>
        </w:numPr>
        <w:jc w:val="left"/>
        <w:rPr>
          <w:rFonts w:ascii="宋体" w:hAnsi="宋体" w:eastAsia="宋体"/>
          <w:b/>
          <w:color w:val="000000"/>
          <w:sz w:val="28"/>
        </w:rPr>
      </w:pPr>
      <w:r>
        <w:rPr>
          <w:rFonts w:ascii="宋体" w:hAnsi="宋体" w:eastAsia="宋体"/>
          <w:b/>
          <w:color w:val="000000"/>
          <w:sz w:val="28"/>
        </w:rPr>
        <w:t>唐山市环境保护局部门总体绩效目标</w:t>
      </w:r>
    </w:p>
    <w:p>
      <w:pPr>
        <w:spacing w:line="360" w:lineRule="auto"/>
        <w:ind w:firstLine="420" w:firstLineChars="200"/>
        <w:jc w:val="left"/>
        <w:rPr>
          <w:rFonts w:ascii="宋体" w:hAnsi="宋体"/>
          <w:szCs w:val="21"/>
        </w:rPr>
      </w:pPr>
      <w:r>
        <w:rPr>
          <w:rFonts w:hint="eastAsia" w:ascii="宋体" w:hAnsi="宋体"/>
          <w:szCs w:val="21"/>
        </w:rPr>
        <w:t xml:space="preserve"> 1、环境空气质量。</w:t>
      </w:r>
      <w:r>
        <w:rPr>
          <w:rFonts w:ascii="宋体" w:hAnsi="宋体"/>
          <w:szCs w:val="21"/>
        </w:rPr>
        <w:t>全市大气PM2.5浓度</w:t>
      </w:r>
      <w:r>
        <w:rPr>
          <w:rFonts w:hint="eastAsia" w:ascii="宋体" w:hAnsi="宋体"/>
          <w:szCs w:val="21"/>
        </w:rPr>
        <w:t>比2016年下降6%，力争下降8%</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w:t>
      </w:r>
      <w:r>
        <w:rPr>
          <w:rFonts w:ascii="宋体" w:hAnsi="宋体"/>
          <w:szCs w:val="21"/>
        </w:rPr>
        <w:t>水环境质量。国控、省控重点河流、湖库断面稳定达到环境功能区划要求；城市及城镇集中式饮用水水源水质全部稳定达标；地下水质量考核点位水质级别保持稳定；近岸海域水质优良（一、二类）比例保持稳定不降。</w:t>
      </w:r>
    </w:p>
    <w:p>
      <w:pPr>
        <w:spacing w:line="360" w:lineRule="auto"/>
        <w:ind w:firstLine="420" w:firstLineChars="200"/>
        <w:jc w:val="left"/>
        <w:rPr>
          <w:rFonts w:ascii="宋体" w:hAnsi="宋体"/>
          <w:szCs w:val="21"/>
        </w:rPr>
      </w:pPr>
      <w:r>
        <w:rPr>
          <w:rFonts w:ascii="宋体" w:hAnsi="宋体"/>
          <w:szCs w:val="21"/>
        </w:rPr>
        <w:t>3、污染物减排。预计2017年</w:t>
      </w:r>
      <w:r>
        <w:rPr>
          <w:rFonts w:hint="eastAsia" w:ascii="宋体" w:hAnsi="宋体"/>
          <w:szCs w:val="21"/>
        </w:rPr>
        <w:t>化学需氧量、氨氮、二氧化硫、氮氧化物分别比2016年削减2%、2.2%、6%、7%（以省达目标为准），</w:t>
      </w:r>
      <w:r>
        <w:rPr>
          <w:rFonts w:ascii="宋体" w:hAnsi="宋体"/>
          <w:szCs w:val="21"/>
          <w:lang w:val="zh-CN"/>
        </w:rPr>
        <w:t>为完成减排任务，</w:t>
      </w:r>
      <w:r>
        <w:rPr>
          <w:rFonts w:hint="eastAsia" w:ascii="宋体" w:hAnsi="宋体"/>
          <w:szCs w:val="21"/>
          <w:lang w:val="zh-CN"/>
        </w:rPr>
        <w:t>计划</w:t>
      </w:r>
      <w:r>
        <w:rPr>
          <w:rFonts w:hint="eastAsia" w:ascii="宋体" w:hAnsi="宋体"/>
          <w:szCs w:val="21"/>
        </w:rPr>
        <w:t>实施重点减排项目87个。</w:t>
      </w:r>
    </w:p>
    <w:p/>
    <w:p>
      <w:pPr>
        <w:jc w:val="left"/>
        <w:rPr>
          <w:rFonts w:ascii="宋体" w:hAnsi="宋体" w:eastAsia="宋体"/>
          <w:b/>
          <w:color w:val="000000"/>
          <w:sz w:val="28"/>
        </w:rPr>
      </w:pPr>
      <w:r>
        <w:rPr>
          <w:rFonts w:ascii="宋体" w:hAnsi="宋体" w:eastAsia="宋体"/>
          <w:b/>
          <w:color w:val="000000"/>
          <w:sz w:val="28"/>
        </w:rPr>
        <w:t>五、唐山市环境保护局及其所属单位有关财政政策</w:t>
      </w:r>
    </w:p>
    <w:p>
      <w:pPr>
        <w:spacing w:line="360" w:lineRule="auto"/>
        <w:ind w:firstLine="420" w:firstLineChars="200"/>
        <w:jc w:val="left"/>
        <w:rPr>
          <w:rFonts w:ascii="宋体" w:hAnsi="宋体"/>
          <w:szCs w:val="21"/>
        </w:rPr>
      </w:pPr>
      <w:r>
        <w:rPr>
          <w:rFonts w:ascii="宋体" w:hAnsi="宋体"/>
          <w:szCs w:val="21"/>
        </w:rPr>
        <w:t>（1）唐山市环境保护局为财政拨款的行政机关</w:t>
      </w:r>
    </w:p>
    <w:p>
      <w:pPr>
        <w:spacing w:line="360" w:lineRule="auto"/>
        <w:ind w:firstLine="420" w:firstLineChars="200"/>
        <w:jc w:val="left"/>
        <w:rPr>
          <w:rFonts w:ascii="宋体" w:hAnsi="宋体"/>
          <w:szCs w:val="21"/>
        </w:rPr>
      </w:pPr>
      <w:r>
        <w:rPr>
          <w:rFonts w:ascii="宋体" w:hAnsi="宋体"/>
          <w:szCs w:val="21"/>
        </w:rPr>
        <w:t>（2）唐山市环境监控指挥中心为财政性资金基本保证经费的参公单位</w:t>
      </w:r>
    </w:p>
    <w:p>
      <w:pPr>
        <w:spacing w:line="360" w:lineRule="auto"/>
        <w:ind w:firstLine="420" w:firstLineChars="200"/>
        <w:jc w:val="left"/>
        <w:rPr>
          <w:rFonts w:ascii="宋体" w:hAnsi="宋体"/>
          <w:szCs w:val="21"/>
        </w:rPr>
      </w:pPr>
      <w:r>
        <w:rPr>
          <w:rFonts w:ascii="宋体" w:hAnsi="宋体"/>
          <w:szCs w:val="21"/>
        </w:rPr>
        <w:t>（3）唐山市环境监测中心站为财政性资金基本保证经费的事业单位</w:t>
      </w:r>
    </w:p>
    <w:p>
      <w:pPr>
        <w:spacing w:line="360" w:lineRule="auto"/>
        <w:ind w:firstLine="420" w:firstLineChars="200"/>
        <w:jc w:val="left"/>
        <w:rPr>
          <w:rFonts w:ascii="宋体" w:hAnsi="宋体"/>
          <w:szCs w:val="21"/>
        </w:rPr>
      </w:pPr>
      <w:r>
        <w:rPr>
          <w:rFonts w:ascii="宋体" w:hAnsi="宋体"/>
          <w:szCs w:val="21"/>
        </w:rPr>
        <w:t>（4）唐山市环境工程评估中心为财政性资金基本保证经费的事业单位</w:t>
      </w:r>
    </w:p>
    <w:p>
      <w:pPr>
        <w:spacing w:line="360" w:lineRule="auto"/>
        <w:ind w:firstLine="420" w:firstLineChars="200"/>
        <w:jc w:val="left"/>
        <w:rPr>
          <w:rFonts w:ascii="宋体" w:hAnsi="宋体"/>
          <w:szCs w:val="21"/>
        </w:rPr>
      </w:pPr>
      <w:r>
        <w:rPr>
          <w:rFonts w:ascii="宋体" w:hAnsi="宋体"/>
          <w:szCs w:val="21"/>
        </w:rPr>
        <w:t>（5）唐山市环境执法监察支队为财政性资金基本保证经费的参公单位</w:t>
      </w:r>
    </w:p>
    <w:p>
      <w:pPr>
        <w:spacing w:line="360" w:lineRule="auto"/>
        <w:ind w:firstLine="420" w:firstLineChars="200"/>
        <w:jc w:val="left"/>
        <w:rPr>
          <w:rFonts w:ascii="宋体" w:hAnsi="宋体"/>
          <w:szCs w:val="21"/>
        </w:rPr>
      </w:pPr>
      <w:r>
        <w:rPr>
          <w:rFonts w:ascii="宋体" w:hAnsi="宋体"/>
          <w:szCs w:val="21"/>
        </w:rPr>
        <w:t>（6）唐山市环境保护局路南区分局为财政性资金基本保证经费的参公单位</w:t>
      </w:r>
    </w:p>
    <w:p>
      <w:pPr>
        <w:spacing w:line="360" w:lineRule="auto"/>
        <w:ind w:firstLine="420" w:firstLineChars="200"/>
        <w:jc w:val="left"/>
        <w:rPr>
          <w:rFonts w:ascii="宋体" w:hAnsi="宋体"/>
          <w:szCs w:val="21"/>
        </w:rPr>
      </w:pPr>
      <w:r>
        <w:rPr>
          <w:rFonts w:ascii="宋体" w:hAnsi="宋体"/>
          <w:szCs w:val="21"/>
        </w:rPr>
        <w:t>（7）唐山市环境保护局路北区分局为财政性资金基本保证经费的参公单位</w:t>
      </w:r>
    </w:p>
    <w:p>
      <w:pPr>
        <w:spacing w:line="360" w:lineRule="auto"/>
        <w:ind w:firstLine="420" w:firstLineChars="200"/>
        <w:jc w:val="left"/>
        <w:rPr>
          <w:rFonts w:ascii="宋体" w:hAnsi="宋体"/>
          <w:szCs w:val="21"/>
        </w:rPr>
      </w:pPr>
      <w:r>
        <w:rPr>
          <w:rFonts w:ascii="宋体" w:hAnsi="宋体"/>
          <w:szCs w:val="21"/>
        </w:rPr>
        <w:t>（8）唐山市环境保护局古冶区分局为财政性资金基本保证经费的参公单位</w:t>
      </w:r>
    </w:p>
    <w:p>
      <w:pPr>
        <w:spacing w:line="360" w:lineRule="auto"/>
        <w:ind w:firstLine="420" w:firstLineChars="200"/>
        <w:jc w:val="left"/>
        <w:rPr>
          <w:rFonts w:ascii="宋体" w:hAnsi="宋体"/>
          <w:szCs w:val="21"/>
        </w:rPr>
      </w:pPr>
      <w:r>
        <w:rPr>
          <w:rFonts w:ascii="宋体" w:hAnsi="宋体"/>
          <w:szCs w:val="21"/>
        </w:rPr>
        <w:t>（9）唐山市古冶区环境监测站为财政性资金基本保证经费的事业单位</w:t>
      </w:r>
    </w:p>
    <w:p>
      <w:pPr>
        <w:spacing w:line="360" w:lineRule="auto"/>
        <w:ind w:firstLine="420" w:firstLineChars="200"/>
        <w:jc w:val="left"/>
        <w:rPr>
          <w:rFonts w:ascii="宋体" w:hAnsi="宋体"/>
          <w:szCs w:val="21"/>
        </w:rPr>
      </w:pPr>
      <w:r>
        <w:rPr>
          <w:rFonts w:ascii="宋体" w:hAnsi="宋体"/>
          <w:szCs w:val="21"/>
        </w:rPr>
        <w:t>（10）唐山市环境保护局开平区分局为财政性资金基本保证经费的参公单位</w:t>
      </w:r>
    </w:p>
    <w:p>
      <w:pPr>
        <w:spacing w:line="360" w:lineRule="auto"/>
        <w:ind w:firstLine="420" w:firstLineChars="200"/>
        <w:jc w:val="left"/>
        <w:rPr>
          <w:rFonts w:ascii="宋体" w:hAnsi="宋体"/>
          <w:szCs w:val="21"/>
        </w:rPr>
      </w:pPr>
      <w:r>
        <w:rPr>
          <w:rFonts w:ascii="宋体" w:hAnsi="宋体"/>
          <w:szCs w:val="21"/>
        </w:rPr>
        <w:t>（11）唐山市环境保护局丰润分局为财政性资金基本保证经费的参公单位</w:t>
      </w:r>
    </w:p>
    <w:p>
      <w:pPr>
        <w:spacing w:line="360" w:lineRule="auto"/>
        <w:ind w:firstLine="420" w:firstLineChars="200"/>
        <w:jc w:val="left"/>
        <w:rPr>
          <w:rFonts w:ascii="宋体" w:hAnsi="宋体"/>
          <w:szCs w:val="21"/>
        </w:rPr>
      </w:pPr>
      <w:r>
        <w:rPr>
          <w:rFonts w:ascii="宋体" w:hAnsi="宋体"/>
          <w:szCs w:val="21"/>
        </w:rPr>
        <w:t>（12）唐山市环境保护局丰润分局环境监测站为财政性资金基本保证经费的事业单位</w:t>
      </w:r>
    </w:p>
    <w:p>
      <w:pPr>
        <w:jc w:val="left"/>
        <w:rPr>
          <w:rFonts w:ascii="仿宋" w:hAnsi="仿宋" w:eastAsia="仿宋"/>
          <w:color w:val="000000"/>
          <w:sz w:val="28"/>
        </w:rPr>
        <w:sectPr>
          <w:footerReference r:id="rId9" w:type="default"/>
          <w:pgSz w:w="11906" w:h="16838"/>
          <w:pgMar w:top="1440" w:right="1800" w:bottom="1440" w:left="1800" w:header="851" w:footer="992" w:gutter="0"/>
          <w:pgNumType w:start="1"/>
          <w:cols w:space="425" w:num="1"/>
          <w:docGrid w:type="lines" w:linePitch="312" w:charSpace="0"/>
        </w:sectPr>
      </w:pPr>
    </w:p>
    <w:p>
      <w:pPr>
        <w:pStyle w:val="6"/>
      </w:pPr>
      <w:bookmarkStart w:id="1" w:name="_Toc383873147"/>
      <w:bookmarkStart w:id="2" w:name="_Toc476241457"/>
      <w:r>
        <w:rPr>
          <w:rFonts w:hint="eastAsia"/>
        </w:rPr>
        <w:t>部门</w:t>
      </w:r>
      <w:bookmarkEnd w:id="1"/>
      <w:r>
        <w:rPr>
          <w:rFonts w:hint="eastAsia"/>
        </w:rPr>
        <w:t>职责-工作活动绩效目标</w:t>
      </w:r>
      <w:bookmarkEnd w:id="2"/>
      <w:r>
        <w:rPr>
          <w:rFonts w:hint="eastAsia"/>
          <w:sz w:val="28"/>
        </w:rPr>
        <w:t xml:space="preserve">                      </w:t>
      </w:r>
      <w:r>
        <w:t xml:space="preserve">                                                </w:t>
      </w:r>
    </w:p>
    <w:tbl>
      <w:tblPr>
        <w:tblStyle w:val="9"/>
        <w:tblW w:w="14745" w:type="dxa"/>
        <w:tblInd w:w="-318" w:type="dxa"/>
        <w:tblLayout w:type="fixed"/>
        <w:tblCellMar>
          <w:top w:w="0" w:type="dxa"/>
          <w:left w:w="108" w:type="dxa"/>
          <w:bottom w:w="0" w:type="dxa"/>
          <w:right w:w="108" w:type="dxa"/>
        </w:tblCellMar>
      </w:tblPr>
      <w:tblGrid>
        <w:gridCol w:w="1702"/>
        <w:gridCol w:w="1276"/>
        <w:gridCol w:w="3827"/>
        <w:gridCol w:w="2693"/>
        <w:gridCol w:w="1843"/>
        <w:gridCol w:w="851"/>
        <w:gridCol w:w="708"/>
        <w:gridCol w:w="851"/>
        <w:gridCol w:w="850"/>
        <w:gridCol w:w="144"/>
      </w:tblGrid>
      <w:tr>
        <w:tblPrEx>
          <w:tblLayout w:type="fixed"/>
          <w:tblCellMar>
            <w:top w:w="0" w:type="dxa"/>
            <w:left w:w="108" w:type="dxa"/>
            <w:bottom w:w="0" w:type="dxa"/>
            <w:right w:w="108" w:type="dxa"/>
          </w:tblCellMar>
        </w:tblPrEx>
        <w:trPr>
          <w:cantSplit/>
          <w:tblHeader/>
        </w:trPr>
        <w:tc>
          <w:tcPr>
            <w:tcW w:w="9498" w:type="dxa"/>
            <w:gridSpan w:val="4"/>
            <w:shd w:val="clear" w:color="auto" w:fill="auto"/>
            <w:vAlign w:val="center"/>
          </w:tcPr>
          <w:p>
            <w:pPr>
              <w:widowControl/>
              <w:jc w:val="left"/>
              <w:rPr>
                <w:rFonts w:ascii="黑体" w:hAnsi="黑体" w:eastAsia="黑体" w:cs="Arial"/>
                <w:b/>
                <w:kern w:val="0"/>
                <w:szCs w:val="21"/>
              </w:rPr>
            </w:pPr>
            <w:r>
              <w:rPr>
                <w:rFonts w:ascii="宋体" w:hAnsi="宋体"/>
                <w:sz w:val="28"/>
              </w:rPr>
              <w:t>626唐山市环境保护局</w:t>
            </w:r>
          </w:p>
        </w:tc>
        <w:tc>
          <w:tcPr>
            <w:tcW w:w="5247" w:type="dxa"/>
            <w:gridSpan w:val="6"/>
            <w:shd w:val="clear" w:color="auto" w:fill="auto"/>
            <w:vAlign w:val="center"/>
          </w:tcPr>
          <w:p>
            <w:pPr>
              <w:widowControl/>
              <w:jc w:val="right"/>
              <w:rPr>
                <w:rFonts w:ascii="黑体" w:hAnsi="黑体" w:eastAsia="黑体" w:cs="Arial"/>
                <w:b/>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blHeader/>
        </w:trPr>
        <w:tc>
          <w:tcPr>
            <w:tcW w:w="1702"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职责活动</w:t>
            </w:r>
          </w:p>
        </w:tc>
        <w:tc>
          <w:tcPr>
            <w:tcW w:w="1276"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年度预算数</w:t>
            </w:r>
          </w:p>
        </w:tc>
        <w:tc>
          <w:tcPr>
            <w:tcW w:w="3827"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内容描述</w:t>
            </w:r>
          </w:p>
        </w:tc>
        <w:tc>
          <w:tcPr>
            <w:tcW w:w="2693"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绩效目标</w:t>
            </w:r>
          </w:p>
        </w:tc>
        <w:tc>
          <w:tcPr>
            <w:tcW w:w="1843"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绩效指标</w:t>
            </w:r>
          </w:p>
        </w:tc>
        <w:tc>
          <w:tcPr>
            <w:tcW w:w="3260" w:type="dxa"/>
            <w:gridSpan w:val="4"/>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312" w:hRule="atLeast"/>
          <w:tblHeader/>
        </w:trPr>
        <w:tc>
          <w:tcPr>
            <w:tcW w:w="1702"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3827" w:type="dxa"/>
            <w:vMerge w:val="continue"/>
            <w:vAlign w:val="center"/>
          </w:tcPr>
          <w:p>
            <w:pPr>
              <w:widowControl/>
              <w:jc w:val="center"/>
              <w:rPr>
                <w:rFonts w:ascii="黑体" w:hAnsi="黑体" w:eastAsia="黑体" w:cs="宋体"/>
                <w:b/>
                <w:bCs/>
                <w:color w:val="000000"/>
                <w:kern w:val="0"/>
                <w:szCs w:val="21"/>
              </w:rPr>
            </w:pPr>
          </w:p>
        </w:tc>
        <w:tc>
          <w:tcPr>
            <w:tcW w:w="269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1"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优</w:t>
            </w:r>
          </w:p>
        </w:tc>
        <w:tc>
          <w:tcPr>
            <w:tcW w:w="70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良</w:t>
            </w:r>
          </w:p>
        </w:tc>
        <w:tc>
          <w:tcPr>
            <w:tcW w:w="851"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中</w:t>
            </w:r>
          </w:p>
        </w:tc>
        <w:tc>
          <w:tcPr>
            <w:tcW w:w="850"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312" w:hRule="atLeast"/>
          <w:tblHeader/>
        </w:trPr>
        <w:tc>
          <w:tcPr>
            <w:tcW w:w="1702"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3827" w:type="dxa"/>
            <w:vMerge w:val="continue"/>
            <w:vAlign w:val="center"/>
          </w:tcPr>
          <w:p>
            <w:pPr>
              <w:widowControl/>
              <w:jc w:val="center"/>
              <w:rPr>
                <w:rFonts w:ascii="黑体" w:hAnsi="黑体" w:eastAsia="黑体" w:cs="宋体"/>
                <w:b/>
                <w:bCs/>
                <w:color w:val="000000"/>
                <w:kern w:val="0"/>
                <w:szCs w:val="21"/>
              </w:rPr>
            </w:pPr>
          </w:p>
        </w:tc>
        <w:tc>
          <w:tcPr>
            <w:tcW w:w="269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1" w:type="dxa"/>
            <w:vMerge w:val="continue"/>
            <w:vAlign w:val="center"/>
          </w:tcPr>
          <w:p>
            <w:pPr>
              <w:widowControl/>
              <w:jc w:val="center"/>
              <w:rPr>
                <w:rFonts w:ascii="黑体" w:hAnsi="黑体" w:eastAsia="黑体" w:cs="宋体"/>
                <w:b/>
                <w:bCs/>
                <w:color w:val="000000"/>
                <w:kern w:val="0"/>
                <w:szCs w:val="21"/>
              </w:rPr>
            </w:pPr>
          </w:p>
        </w:tc>
        <w:tc>
          <w:tcPr>
            <w:tcW w:w="708" w:type="dxa"/>
            <w:vMerge w:val="continue"/>
            <w:vAlign w:val="center"/>
          </w:tcPr>
          <w:p>
            <w:pPr>
              <w:widowControl/>
              <w:jc w:val="center"/>
              <w:rPr>
                <w:rFonts w:ascii="黑体" w:hAnsi="黑体" w:eastAsia="黑体" w:cs="宋体"/>
                <w:b/>
                <w:bCs/>
                <w:color w:val="000000"/>
                <w:kern w:val="0"/>
                <w:szCs w:val="21"/>
              </w:rPr>
            </w:pPr>
          </w:p>
        </w:tc>
        <w:tc>
          <w:tcPr>
            <w:tcW w:w="851"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312" w:hRule="atLeast"/>
          <w:tblHeader/>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vMerge w:val="continue"/>
            <w:shd w:val="clear" w:color="auto" w:fill="auto"/>
            <w:vAlign w:val="center"/>
          </w:tcPr>
          <w:p>
            <w:pPr>
              <w:widowControl/>
              <w:rPr>
                <w:rFonts w:ascii="宋体" w:hAnsi="宋体" w:cs="宋体"/>
                <w:color w:val="000000"/>
                <w:kern w:val="0"/>
                <w:szCs w:val="21"/>
              </w:rPr>
            </w:pPr>
          </w:p>
        </w:tc>
        <w:tc>
          <w:tcPr>
            <w:tcW w:w="851" w:type="dxa"/>
            <w:vMerge w:val="continue"/>
            <w:shd w:val="clear" w:color="auto" w:fill="auto"/>
            <w:vAlign w:val="center"/>
          </w:tcPr>
          <w:p>
            <w:pPr>
              <w:widowControl/>
              <w:rPr>
                <w:rFonts w:ascii="宋体" w:hAnsi="宋体" w:cs="宋体"/>
                <w:color w:val="000000"/>
                <w:kern w:val="0"/>
                <w:szCs w:val="21"/>
              </w:rPr>
            </w:pPr>
          </w:p>
        </w:tc>
        <w:tc>
          <w:tcPr>
            <w:tcW w:w="708" w:type="dxa"/>
            <w:vMerge w:val="continue"/>
            <w:shd w:val="clear" w:color="auto" w:fill="auto"/>
            <w:vAlign w:val="center"/>
          </w:tcPr>
          <w:p>
            <w:pPr>
              <w:widowControl/>
              <w:rPr>
                <w:rFonts w:ascii="宋体" w:hAnsi="宋体" w:cs="宋体"/>
                <w:color w:val="000000"/>
                <w:kern w:val="0"/>
                <w:szCs w:val="21"/>
              </w:rPr>
            </w:pPr>
          </w:p>
        </w:tc>
        <w:tc>
          <w:tcPr>
            <w:tcW w:w="851" w:type="dxa"/>
            <w:vMerge w:val="continue"/>
            <w:shd w:val="clear" w:color="auto" w:fill="auto"/>
            <w:vAlign w:val="center"/>
          </w:tcPr>
          <w:p>
            <w:pPr>
              <w:widowControl/>
              <w:rPr>
                <w:rFonts w:ascii="宋体" w:hAnsi="宋体" w:cs="宋体"/>
                <w:color w:val="000000"/>
                <w:kern w:val="0"/>
                <w:szCs w:val="21"/>
              </w:rPr>
            </w:pPr>
          </w:p>
        </w:tc>
        <w:tc>
          <w:tcPr>
            <w:tcW w:w="850" w:type="dxa"/>
            <w:vMerge w:val="continue"/>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600" w:hRule="exac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环境监测与监察</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开展环境要素的监测与综合分析评价，提高环境监测和预警能力，提高自动站的建设、管理，加大辐射环境质量监测、核应急监测，加大环境监管执法力度，完善环境基本公共服务体系建设。</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加强环境监测与监督</w:t>
            </w:r>
          </w:p>
        </w:tc>
        <w:tc>
          <w:tcPr>
            <w:tcW w:w="1843" w:type="dxa"/>
            <w:shd w:val="clear" w:color="auto" w:fill="auto"/>
            <w:vAlign w:val="center"/>
          </w:tcPr>
          <w:p>
            <w:pPr>
              <w:widowControl/>
              <w:rPr>
                <w:rFonts w:ascii="宋体" w:hAnsi="宋体" w:cs="宋体"/>
                <w:color w:val="000000"/>
                <w:kern w:val="0"/>
                <w:szCs w:val="21"/>
              </w:rPr>
            </w:pPr>
          </w:p>
        </w:tc>
        <w:tc>
          <w:tcPr>
            <w:tcW w:w="851" w:type="dxa"/>
            <w:shd w:val="clear" w:color="auto" w:fill="auto"/>
            <w:vAlign w:val="center"/>
          </w:tcPr>
          <w:p>
            <w:pPr>
              <w:widowControl/>
              <w:rPr>
                <w:rFonts w:ascii="宋体" w:hAnsi="宋体" w:cs="宋体"/>
                <w:color w:val="000000"/>
                <w:kern w:val="0"/>
                <w:szCs w:val="21"/>
              </w:rPr>
            </w:pPr>
          </w:p>
        </w:tc>
        <w:tc>
          <w:tcPr>
            <w:tcW w:w="708" w:type="dxa"/>
            <w:shd w:val="clear" w:color="auto" w:fill="auto"/>
            <w:vAlign w:val="center"/>
          </w:tcPr>
          <w:p>
            <w:pPr>
              <w:widowControl/>
              <w:rPr>
                <w:rFonts w:ascii="宋体" w:hAnsi="宋体" w:cs="宋体"/>
                <w:color w:val="000000"/>
                <w:kern w:val="0"/>
                <w:szCs w:val="21"/>
              </w:rPr>
            </w:pPr>
          </w:p>
        </w:tc>
        <w:tc>
          <w:tcPr>
            <w:tcW w:w="851"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2560" w:hRule="exac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环境监察与督查</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加强环境行政监察，开展全市网格化环境监管、环境违法案件现场调查处理、污染纠纷调查处理，全市打击环境违法行为专项行动，以及生态和农村环境执法监察；加强环境行政执法后督察。</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减少企业污染物排放；加强我市环境执法能力，逐步改善我市环境质量；通过无人机航测飞行服务对相关区域及污染企业情况进行航测，第一时间内真实、有效的获取相关数据成果（多角度全方位拍摄、提供高清影像图片、有详细的属性内容信息）；按照年度计划安排，对安装了污染源远程执法系统的涉水企业进行随机抽查。</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w:t>
            </w:r>
          </w:p>
        </w:tc>
        <w:tc>
          <w:tcPr>
            <w:tcW w:w="850"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600" w:hRule="exact"/>
        </w:trPr>
        <w:tc>
          <w:tcPr>
            <w:tcW w:w="1702"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环境监察与督查</w:t>
            </w:r>
          </w:p>
        </w:tc>
        <w:tc>
          <w:tcPr>
            <w:tcW w:w="1276" w:type="dxa"/>
            <w:vMerge w:val="restart"/>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3827" w:type="dxa"/>
            <w:vMerge w:val="restart"/>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加强环境行政监察，开展全市网格化环境监管、环境违法案件现场调查处理、污染纠纷调查处理，全市打击环境违法行为专项行动，以及生态和农村环境执法监察；加强环境行政执法后督察。</w:t>
            </w:r>
          </w:p>
        </w:tc>
        <w:tc>
          <w:tcPr>
            <w:tcW w:w="2693" w:type="dxa"/>
            <w:vMerge w:val="restart"/>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人民群众满意</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w:t>
            </w:r>
          </w:p>
        </w:tc>
        <w:tc>
          <w:tcPr>
            <w:tcW w:w="850"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2240" w:hRule="exact"/>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依托市环保局监控中心监控平台，按照年度计划安排，对安装了污染源远程执法系统的涉污企业进行随机抽查。</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w:t>
            </w:r>
          </w:p>
        </w:tc>
        <w:tc>
          <w:tcPr>
            <w:tcW w:w="850"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280" w:hRule="exac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环境污染综合防治</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17347.00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负责制定大气、水体、固体废物、化学品、机动车等污染防治管理制度并组织实施，会同有关部门监督管理饮用水水源地环境保护。</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加强大气、水体、机动车污染防治，加强固体废弃物、重金属等重点污染治理工程的防治工作。</w:t>
            </w:r>
          </w:p>
        </w:tc>
        <w:tc>
          <w:tcPr>
            <w:tcW w:w="1843" w:type="dxa"/>
            <w:shd w:val="clear" w:color="auto" w:fill="auto"/>
            <w:vAlign w:val="center"/>
          </w:tcPr>
          <w:p>
            <w:pPr>
              <w:widowControl/>
              <w:rPr>
                <w:rFonts w:ascii="宋体" w:hAnsi="宋体" w:cs="宋体"/>
                <w:color w:val="000000"/>
                <w:kern w:val="0"/>
                <w:szCs w:val="21"/>
              </w:rPr>
            </w:pPr>
          </w:p>
        </w:tc>
        <w:tc>
          <w:tcPr>
            <w:tcW w:w="851" w:type="dxa"/>
            <w:shd w:val="clear" w:color="auto" w:fill="auto"/>
            <w:vAlign w:val="center"/>
          </w:tcPr>
          <w:p>
            <w:pPr>
              <w:widowControl/>
              <w:rPr>
                <w:rFonts w:ascii="宋体" w:hAnsi="宋体" w:cs="宋体"/>
                <w:color w:val="000000"/>
                <w:kern w:val="0"/>
                <w:szCs w:val="21"/>
              </w:rPr>
            </w:pPr>
          </w:p>
        </w:tc>
        <w:tc>
          <w:tcPr>
            <w:tcW w:w="708" w:type="dxa"/>
            <w:shd w:val="clear" w:color="auto" w:fill="auto"/>
            <w:vAlign w:val="center"/>
          </w:tcPr>
          <w:p>
            <w:pPr>
              <w:widowControl/>
              <w:rPr>
                <w:rFonts w:ascii="宋体" w:hAnsi="宋体" w:cs="宋体"/>
                <w:color w:val="000000"/>
                <w:kern w:val="0"/>
                <w:szCs w:val="21"/>
              </w:rPr>
            </w:pPr>
          </w:p>
        </w:tc>
        <w:tc>
          <w:tcPr>
            <w:tcW w:w="851"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4160" w:hRule="exac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大气污染防治</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重点对</w:t>
            </w:r>
            <w:r>
              <w:rPr>
                <w:rFonts w:ascii="宋体" w:hAnsi="宋体" w:cs="宋体"/>
                <w:color w:val="000000"/>
                <w:kern w:val="0"/>
                <w:szCs w:val="21"/>
              </w:rPr>
              <w:t>PM、VOC、二氧化硫等大气污染物进行综合防治，推动城市环境空气质量改善。</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对我市调结构、转方式，优化产业布局，调整能源结构，化解过剩产能提供了治理规划；重型柴油车排放污染治理改造示范运行，以及排放污染治理改造技术路线评估和减排效果评估，污染监管平台系统安全、稳定运行</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w:t>
            </w:r>
          </w:p>
        </w:tc>
        <w:tc>
          <w:tcPr>
            <w:tcW w:w="850"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3520" w:hRule="exact"/>
        </w:trPr>
        <w:tc>
          <w:tcPr>
            <w:tcW w:w="1702"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大气污染防治</w:t>
            </w:r>
          </w:p>
        </w:tc>
        <w:tc>
          <w:tcPr>
            <w:tcW w:w="1276" w:type="dxa"/>
            <w:vMerge w:val="restart"/>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378.00</w:t>
            </w:r>
          </w:p>
        </w:tc>
        <w:tc>
          <w:tcPr>
            <w:tcW w:w="3827" w:type="dxa"/>
            <w:vMerge w:val="restart"/>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重点对</w:t>
            </w:r>
            <w:r>
              <w:rPr>
                <w:rFonts w:ascii="宋体" w:hAnsi="宋体" w:cs="宋体"/>
                <w:color w:val="000000"/>
                <w:kern w:val="0"/>
                <w:szCs w:val="21"/>
              </w:rPr>
              <w:t>PM、VOC、二氧化硫等大气污染物进行综合防治，推动城市环境空气质量改善。</w:t>
            </w:r>
          </w:p>
        </w:tc>
        <w:tc>
          <w:tcPr>
            <w:tcW w:w="2693" w:type="dxa"/>
            <w:vMerge w:val="restart"/>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了解污染物主要来源情况，对我市大气污染的主要成因，面临形势，主要污染物成因有了更加科学有效的解析，为市委、市政府开展大气污染防治工作提供科学决定依据</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w:t>
            </w:r>
          </w:p>
        </w:tc>
        <w:tc>
          <w:tcPr>
            <w:tcW w:w="850"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960" w:hRule="exact"/>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人民群众满意度</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w:t>
            </w:r>
          </w:p>
        </w:tc>
        <w:tc>
          <w:tcPr>
            <w:tcW w:w="850"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280" w:hRule="exac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水体污染防治</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16669.00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加强河流湖泊水污染防治、地下水污染防治、近岸海域水污染防治、饮用水源保护、污染水体整治、水污染源监督管理、水污染防治和水环境保护工程。</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人民群众满意度</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6080" w:hRule="exac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水体污染防治</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16669.00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加强河流湖泊水污染防治、地下水污染防治、近岸海域水污染防治、饮用水源保护、污染水体整治、水污染源监督管理、水污染防治和水环境保护工程。</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全面完成大黑汀水库清理任务，全面完成丘庄水库治理任务，全面完成潘家口水库清理任务。提交引滦入唐流域污染源进行调查解析方案。提交唐山市水污染防治等相关规划方案编制工作。加大建成区水体改善力度，深化重点河流污染防治，加强饮用水水源地保护，加大工业企业治理力度，实施水污染防治系列工程。</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280" w:hRule="exac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水体污染防治</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16669.00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加强河流湖泊水污染防治、地下水污染防治、近岸海域水污染防治、饮用水源保护、污染水体整治、水污染源监督管理、水污染防治和水环境保护工程。</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改善水质</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3200" w:hRule="exac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流域、区域污染综合防治</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加强全市重点流域、区域、海域污染综合防治</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形成《重点行业企业周边土壤污染现状调查结果》、《重点行业企业土壤污染现状及风险防控对策报告》、《重点县区土壤环境质量评估和类别划分结果》。</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全面达到实现目标要求</w:t>
            </w:r>
          </w:p>
        </w:tc>
        <w:tc>
          <w:tcPr>
            <w:tcW w:w="708"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基本达到实现目标要求</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能够达到实现目标要求</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3200" w:hRule="exact"/>
        </w:trPr>
        <w:tc>
          <w:tcPr>
            <w:tcW w:w="1702"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流域、区域污染综合防治</w:t>
            </w:r>
          </w:p>
        </w:tc>
        <w:tc>
          <w:tcPr>
            <w:tcW w:w="1276" w:type="dxa"/>
            <w:vMerge w:val="restart"/>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3827" w:type="dxa"/>
            <w:vMerge w:val="restart"/>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加强全市重点流域、区域、海域污染综合防治</w:t>
            </w:r>
          </w:p>
        </w:tc>
        <w:tc>
          <w:tcPr>
            <w:tcW w:w="2693" w:type="dxa"/>
            <w:vMerge w:val="restart"/>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形成《重点行业企业周边土壤污染现状调查结果》、《重点行业企业土壤污染现状及风险防控对策报告》、《重点县区土壤环境质量评估和类别划分结果》。</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全面达到实现目标要求</w:t>
            </w:r>
          </w:p>
        </w:tc>
        <w:tc>
          <w:tcPr>
            <w:tcW w:w="708"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基本达到实现目标要求</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能够达到实现目标要求</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600" w:hRule="exact"/>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人民群众满意度</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全面达到实现目标要求</w:t>
            </w:r>
          </w:p>
        </w:tc>
        <w:tc>
          <w:tcPr>
            <w:tcW w:w="708"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基本达到实现目标要求</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能够达到实现目标要求</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达不到实现目标要求</w:t>
            </w:r>
          </w:p>
        </w:tc>
      </w:tr>
    </w:tbl>
    <w:p>
      <w:pPr>
        <w:spacing w:line="360" w:lineRule="auto"/>
        <w:jc w:val="left"/>
      </w:pPr>
    </w:p>
    <w:p>
      <w:pPr>
        <w:jc w:val="left"/>
        <w:rPr>
          <w:rFonts w:ascii="仿宋" w:hAnsi="仿宋" w:eastAsia="仿宋"/>
          <w:color w:val="000000"/>
          <w:sz w:val="28"/>
        </w:rPr>
        <w:sectPr>
          <w:headerReference r:id="rId10" w:type="default"/>
          <w:pgSz w:w="16838" w:h="11906" w:orient="landscape"/>
          <w:pgMar w:top="1800" w:right="1440" w:bottom="1800" w:left="1440" w:header="851" w:footer="992" w:gutter="0"/>
          <w:cols w:space="425" w:num="1"/>
          <w:docGrid w:type="lines" w:linePitch="312" w:charSpace="0"/>
        </w:sectPr>
      </w:pPr>
    </w:p>
    <w:p>
      <w:pPr>
        <w:pStyle w:val="6"/>
      </w:pPr>
      <w:bookmarkStart w:id="3" w:name="_Toc476241458"/>
      <w:r>
        <w:rPr>
          <w:rFonts w:hint="eastAsia"/>
        </w:rPr>
        <w:t>部门收支预算总表</w:t>
      </w:r>
      <w:bookmarkEnd w:id="3"/>
    </w:p>
    <w:tbl>
      <w:tblPr>
        <w:tblStyle w:val="9"/>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626唐山市环境保护局</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23883.52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23883.52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17614.7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292.79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741.03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5235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23883.52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3860.84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3335.56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525.28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1287.68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353.14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934.54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18735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jc w:val="left"/>
        <w:rPr>
          <w:rFonts w:ascii="仿宋" w:hAnsi="仿宋" w:eastAsia="仿宋"/>
          <w:color w:val="000000"/>
          <w:sz w:val="28"/>
        </w:rPr>
        <w:sectPr>
          <w:headerReference r:id="rId11" w:type="default"/>
          <w:pgSz w:w="11906" w:h="16838"/>
          <w:pgMar w:top="1440" w:right="1800" w:bottom="1440" w:left="1800" w:header="851" w:footer="992" w:gutter="0"/>
          <w:cols w:space="425" w:num="1"/>
          <w:docGrid w:type="lines" w:linePitch="312" w:charSpace="0"/>
        </w:sectPr>
      </w:pPr>
    </w:p>
    <w:p>
      <w:pPr>
        <w:pStyle w:val="6"/>
      </w:pPr>
      <w:bookmarkStart w:id="4" w:name="_Toc476241459"/>
      <w:r>
        <w:rPr>
          <w:rFonts w:hint="eastAsia"/>
        </w:rPr>
        <w:t>部门基本支出预算</w:t>
      </w:r>
      <w:bookmarkEnd w:id="4"/>
    </w:p>
    <w:tbl>
      <w:tblPr>
        <w:tblStyle w:val="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387"/>
        <w:gridCol w:w="1701"/>
        <w:gridCol w:w="1559"/>
        <w:gridCol w:w="492"/>
        <w:gridCol w:w="925"/>
        <w:gridCol w:w="1418"/>
        <w:gridCol w:w="1041"/>
        <w:gridCol w:w="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7" w:type="dxa"/>
          <w:cantSplit/>
          <w:trHeight w:val="285" w:hRule="atLeast"/>
          <w:tblHeader/>
          <w:jc w:val="center"/>
        </w:trPr>
        <w:tc>
          <w:tcPr>
            <w:tcW w:w="10523" w:type="dxa"/>
            <w:gridSpan w:val="5"/>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626唐山市环境保护局</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blHeader/>
          <w:jc w:val="center"/>
        </w:trPr>
        <w:tc>
          <w:tcPr>
            <w:tcW w:w="1384"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538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7403"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384" w:type="dxa"/>
            <w:vMerge w:val="continue"/>
            <w:vAlign w:val="center"/>
          </w:tcPr>
          <w:p>
            <w:pPr>
              <w:widowControl/>
              <w:jc w:val="center"/>
              <w:rPr>
                <w:rFonts w:ascii="黑体" w:hAnsi="黑体" w:eastAsia="黑体" w:cs="宋体"/>
                <w:b/>
                <w:bCs/>
                <w:color w:val="000000"/>
                <w:kern w:val="0"/>
                <w:szCs w:val="21"/>
              </w:rPr>
            </w:pPr>
          </w:p>
        </w:tc>
        <w:tc>
          <w:tcPr>
            <w:tcW w:w="5387" w:type="dxa"/>
            <w:vMerge w:val="continue"/>
            <w:vAlign w:val="center"/>
          </w:tcPr>
          <w:p>
            <w:pPr>
              <w:widowControl/>
              <w:jc w:val="center"/>
              <w:rPr>
                <w:rFonts w:ascii="黑体" w:hAnsi="黑体" w:eastAsia="黑体" w:cs="宋体"/>
                <w:b/>
                <w:bCs/>
                <w:color w:val="000000"/>
                <w:kern w:val="0"/>
                <w:szCs w:val="21"/>
              </w:rPr>
            </w:pPr>
          </w:p>
        </w:tc>
        <w:tc>
          <w:tcPr>
            <w:tcW w:w="1701"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eastAsia="黑体"/>
                <w:b/>
              </w:rPr>
              <w:t>合 计</w:t>
            </w:r>
          </w:p>
        </w:tc>
        <w:tc>
          <w:tcPr>
            <w:tcW w:w="155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eastAsia="黑体"/>
                <w:b/>
              </w:rPr>
              <w:t>政府性基金预算拨款安排</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国有资本经营预算拨款安排</w:t>
            </w:r>
          </w:p>
        </w:tc>
        <w:tc>
          <w:tcPr>
            <w:tcW w:w="1308"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384" w:type="dxa"/>
            <w:vMerge w:val="continue"/>
            <w:vAlign w:val="center"/>
          </w:tcPr>
          <w:p>
            <w:pPr>
              <w:widowControl/>
              <w:jc w:val="center"/>
              <w:rPr>
                <w:rFonts w:ascii="黑体" w:hAnsi="黑体" w:eastAsia="黑体" w:cs="宋体"/>
                <w:b/>
                <w:bCs/>
                <w:color w:val="000000"/>
                <w:kern w:val="0"/>
                <w:szCs w:val="21"/>
              </w:rPr>
            </w:pPr>
          </w:p>
        </w:tc>
        <w:tc>
          <w:tcPr>
            <w:tcW w:w="5387" w:type="dxa"/>
            <w:vMerge w:val="continue"/>
            <w:vAlign w:val="center"/>
          </w:tcPr>
          <w:p>
            <w:pPr>
              <w:widowControl/>
              <w:jc w:val="center"/>
              <w:rPr>
                <w:rFonts w:ascii="黑体" w:hAnsi="黑体" w:eastAsia="黑体" w:cs="宋体"/>
                <w:b/>
                <w:bCs/>
                <w:color w:val="000000"/>
                <w:kern w:val="0"/>
                <w:szCs w:val="21"/>
              </w:rPr>
            </w:pPr>
          </w:p>
        </w:tc>
        <w:tc>
          <w:tcPr>
            <w:tcW w:w="1701" w:type="dxa"/>
            <w:vMerge w:val="continue"/>
            <w:vAlign w:val="center"/>
          </w:tcPr>
          <w:p>
            <w:pPr>
              <w:widowControl/>
              <w:jc w:val="center"/>
              <w:rPr>
                <w:rFonts w:ascii="黑体" w:hAnsi="黑体" w:eastAsia="黑体" w:cs="宋体"/>
                <w:b/>
                <w:bCs/>
                <w:color w:val="000000"/>
                <w:kern w:val="0"/>
                <w:szCs w:val="21"/>
              </w:rPr>
            </w:pPr>
          </w:p>
        </w:tc>
        <w:tc>
          <w:tcPr>
            <w:tcW w:w="1559" w:type="dxa"/>
            <w:vMerge w:val="continue"/>
            <w:vAlign w:val="center"/>
          </w:tcPr>
          <w:p>
            <w:pPr>
              <w:widowControl/>
              <w:jc w:val="center"/>
              <w:rPr>
                <w:rFonts w:ascii="黑体" w:hAnsi="黑体" w:eastAsia="黑体" w:cs="宋体"/>
                <w:b/>
                <w:bCs/>
                <w:color w:val="000000"/>
                <w:kern w:val="0"/>
                <w:szCs w:val="21"/>
              </w:rPr>
            </w:pPr>
          </w:p>
        </w:tc>
        <w:tc>
          <w:tcPr>
            <w:tcW w:w="1417" w:type="dxa"/>
            <w:gridSpan w:val="2"/>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1308"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384" w:type="dxa"/>
            <w:vMerge w:val="continue"/>
            <w:shd w:val="clear" w:color="auto" w:fill="auto"/>
            <w:vAlign w:val="center"/>
          </w:tcPr>
          <w:p>
            <w:pPr>
              <w:widowControl/>
              <w:rPr>
                <w:rFonts w:ascii="宋体" w:hAnsi="宋体" w:cs="宋体"/>
                <w:color w:val="000000"/>
                <w:kern w:val="0"/>
                <w:szCs w:val="21"/>
              </w:rPr>
            </w:pPr>
          </w:p>
        </w:tc>
        <w:tc>
          <w:tcPr>
            <w:tcW w:w="5387" w:type="dxa"/>
            <w:vMerge w:val="continue"/>
            <w:shd w:val="clear" w:color="auto" w:fill="auto"/>
            <w:vAlign w:val="center"/>
          </w:tcPr>
          <w:p>
            <w:pPr>
              <w:widowControl/>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308"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人员经费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3860.84</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3860.84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一、工资福利支出</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3335.56</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3335.56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30101</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1、基本工资</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1063.28</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1063.28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2、津贴补贴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725.29</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725.29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1）地区附加津贴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688.53</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688.53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工作津贴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275.69</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275.69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生活补贴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412.84</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412.84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增发津补贴</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2）（特殊）岗位津贴（补贴）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14.62</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14.62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3）规范津补贴后仍继续保留的补贴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回族补贴</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职工劳模荣誉津贴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4）上述项目之外的津贴补贴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22.13</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22.13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通讯费补贴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18.94</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18.94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女职工卫生费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3.19</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30103</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3、奖金</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61.34</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61.34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4、社会保障缴费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1016.06</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1016.06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30108</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1）基本养老保险费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433.04</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433.04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2）职业年金缴费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173.20</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173.20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3）基本医疗保险费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395.45</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395.45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4）事业单位失业保险</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5.54</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5）事业单位工伤保险</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3.39</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6）职工生育保险费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5.44</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5、绩效工资</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352.07</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352.07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1）基础性绩效工资</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226.76</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226.76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2）奖励性绩效工资</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98.09</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98.09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3）事业单位上年度12月份基本工资</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27.22</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27.22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6、其他工资福利支出</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117.52</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117.52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1）人事代理人员工资</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53.78</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53.78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2）劳务派遣人员工资</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63.74</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63.74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3）其他编外人员工资</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4）病假两个月以上期间的人员工资</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5）教师超工作量津贴</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6）各种加班工资</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7）预留人员经费</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二、对个人和家庭的补助</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525.28</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525.28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30301</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1、离休费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2.37</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30302</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2、退休费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2.18</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30303</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3、教育系统养老金补贴</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30304</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4、抚恤金</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1.22</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30305</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5、生活补助</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0.99</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30307</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6、医疗费</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30308</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7、助学金</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8、奖励金</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1.82</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30309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1）独生子女父母奖励</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1.82</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30309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2）其他奖励金</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30311</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9、住房公积金</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259.82</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259.82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10、其他对个人和家庭的补助支出</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256.88</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256.88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30314</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1）在职人员取暖补贴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172.76</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172.76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30314</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2）离退休人员取暖补贴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84.12</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84.12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正常公用经费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353.14</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353.14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一、定额安排公用经费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195.11</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195.11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30201</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1、办公费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11.16</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11.16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30207</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2、邮电费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10.19</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10.19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30211</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3、差旅费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29.79</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29.79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30209</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4、物业管理费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9.25</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30213</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5、维修（护）费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5.15</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30231</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6、公务用车运行维护费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58.00</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58.00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30239</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7、公务交通补贴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69.72</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69.72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8、其他商品和服务支出</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1.85</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二、按规定比例提取安排公用经费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61.98</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61.98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30216</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1、培训费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18.00</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30217</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2、公务接待费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2.51</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30228</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3、工会经费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14.39</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14.39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30229</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4、福利费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15.31</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15.31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5、其他</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11.77</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11.77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1）离休人员福利费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0.23</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2）退休人员福利费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6.07</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3）离休干部公用经费、特需费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0.34</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4）退休干部公用经费、特需费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5.13</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三、非定额安排公用经费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96.05</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96.05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30205</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1、水费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4.40</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30206</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2、电费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39.15</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39.15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30208</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3、取暖费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52.50</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52.50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 xml:space="preserve">     基本支出总计</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4213.98</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4213.98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jc w:val="left"/>
        <w:rPr>
          <w:rFonts w:ascii="仿宋" w:hAnsi="仿宋" w:eastAsia="仿宋"/>
          <w:color w:val="000000"/>
          <w:sz w:val="28"/>
        </w:rPr>
        <w:sectPr>
          <w:headerReference r:id="rId12" w:type="default"/>
          <w:pgSz w:w="16838" w:h="11906" w:orient="landscape"/>
          <w:pgMar w:top="1800" w:right="1440" w:bottom="1800" w:left="1440" w:header="851" w:footer="992" w:gutter="0"/>
          <w:cols w:space="425" w:num="1"/>
          <w:docGrid w:type="lines" w:linePitch="312" w:charSpace="0"/>
        </w:sectPr>
      </w:pPr>
    </w:p>
    <w:p>
      <w:pPr>
        <w:pStyle w:val="6"/>
      </w:pPr>
      <w:bookmarkStart w:id="5" w:name="_Toc383873146"/>
      <w:bookmarkStart w:id="6" w:name="_Toc476241460"/>
      <w:r>
        <w:rPr>
          <w:rFonts w:hint="eastAsia"/>
        </w:rPr>
        <w:t>部门项目支出</w:t>
      </w:r>
      <w:bookmarkEnd w:id="5"/>
      <w:r>
        <w:rPr>
          <w:rFonts w:hint="eastAsia"/>
        </w:rPr>
        <w:t>预算</w:t>
      </w:r>
      <w:bookmarkEnd w:id="6"/>
    </w:p>
    <w:tbl>
      <w:tblPr>
        <w:tblStyle w:val="9"/>
        <w:tblW w:w="14192" w:type="dxa"/>
        <w:jc w:val="center"/>
        <w:tblInd w:w="-18" w:type="dxa"/>
        <w:tblLayout w:type="fixed"/>
        <w:tblCellMar>
          <w:top w:w="0" w:type="dxa"/>
          <w:left w:w="108" w:type="dxa"/>
          <w:bottom w:w="0" w:type="dxa"/>
          <w:right w:w="108" w:type="dxa"/>
        </w:tblCellMar>
      </w:tblPr>
      <w:tblGrid>
        <w:gridCol w:w="18"/>
        <w:gridCol w:w="2518"/>
        <w:gridCol w:w="1559"/>
        <w:gridCol w:w="993"/>
        <w:gridCol w:w="1134"/>
        <w:gridCol w:w="1134"/>
        <w:gridCol w:w="850"/>
        <w:gridCol w:w="1276"/>
        <w:gridCol w:w="595"/>
        <w:gridCol w:w="681"/>
        <w:gridCol w:w="1134"/>
        <w:gridCol w:w="1134"/>
        <w:gridCol w:w="1166"/>
      </w:tblGrid>
      <w:tr>
        <w:tblPrEx>
          <w:tblLayout w:type="fixed"/>
          <w:tblCellMar>
            <w:top w:w="0" w:type="dxa"/>
            <w:left w:w="108" w:type="dxa"/>
            <w:bottom w:w="0" w:type="dxa"/>
            <w:right w:w="108" w:type="dxa"/>
          </w:tblCellMar>
        </w:tblPrEx>
        <w:trPr>
          <w:cantSplit/>
          <w:trHeight w:val="270" w:hRule="atLeast"/>
          <w:tblHeader/>
          <w:jc w:val="center"/>
        </w:trPr>
        <w:tc>
          <w:tcPr>
            <w:tcW w:w="10077" w:type="dxa"/>
            <w:gridSpan w:val="9"/>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626唐山市环境保护局</w:t>
            </w:r>
            <w:r>
              <w:rPr>
                <w:rFonts w:hint="eastAsia" w:ascii="宋体" w:hAnsi="宋体" w:cs="宋体"/>
                <w:color w:val="000000"/>
                <w:kern w:val="0"/>
                <w:sz w:val="22"/>
              </w:rPr>
              <w:t>　</w:t>
            </w:r>
          </w:p>
        </w:tc>
        <w:tc>
          <w:tcPr>
            <w:tcW w:w="4115"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270" w:hRule="atLeast"/>
          <w:tblHeader/>
          <w:jc w:val="center"/>
        </w:trPr>
        <w:tc>
          <w:tcPr>
            <w:tcW w:w="25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55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项目承担单位</w:t>
            </w:r>
          </w:p>
        </w:tc>
        <w:tc>
          <w:tcPr>
            <w:tcW w:w="993"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2268" w:type="dxa"/>
            <w:gridSpan w:val="2"/>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项目类型</w:t>
            </w:r>
          </w:p>
        </w:tc>
        <w:tc>
          <w:tcPr>
            <w:tcW w:w="850"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项目级次</w:t>
            </w:r>
          </w:p>
        </w:tc>
        <w:tc>
          <w:tcPr>
            <w:tcW w:w="5986" w:type="dxa"/>
            <w:gridSpan w:val="6"/>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tblHeader/>
          <w:jc w:val="center"/>
        </w:trPr>
        <w:tc>
          <w:tcPr>
            <w:tcW w:w="2518" w:type="dxa"/>
            <w:vMerge w:val="continue"/>
            <w:vAlign w:val="center"/>
          </w:tcPr>
          <w:p>
            <w:pPr>
              <w:widowControl/>
              <w:jc w:val="center"/>
              <w:rPr>
                <w:rFonts w:ascii="黑体" w:hAnsi="黑体" w:eastAsia="黑体" w:cs="宋体"/>
                <w:b/>
                <w:color w:val="000000"/>
                <w:kern w:val="0"/>
                <w:szCs w:val="21"/>
              </w:rPr>
            </w:pPr>
          </w:p>
        </w:tc>
        <w:tc>
          <w:tcPr>
            <w:tcW w:w="1559" w:type="dxa"/>
            <w:vMerge w:val="continue"/>
            <w:vAlign w:val="center"/>
          </w:tcPr>
          <w:p>
            <w:pPr>
              <w:widowControl/>
              <w:jc w:val="center"/>
              <w:rPr>
                <w:rFonts w:ascii="黑体" w:hAnsi="黑体" w:eastAsia="黑体" w:cs="宋体"/>
                <w:b/>
                <w:bCs/>
                <w:color w:val="000000"/>
                <w:kern w:val="0"/>
                <w:szCs w:val="21"/>
              </w:rPr>
            </w:pPr>
          </w:p>
        </w:tc>
        <w:tc>
          <w:tcPr>
            <w:tcW w:w="993" w:type="dxa"/>
            <w:vMerge w:val="continue"/>
            <w:vAlign w:val="center"/>
          </w:tcPr>
          <w:p>
            <w:pPr>
              <w:widowControl/>
              <w:jc w:val="center"/>
              <w:rPr>
                <w:rFonts w:ascii="黑体" w:hAnsi="黑体" w:eastAsia="黑体" w:cs="宋体"/>
                <w:b/>
                <w:bCs/>
                <w:color w:val="000000"/>
                <w:kern w:val="0"/>
                <w:szCs w:val="21"/>
              </w:rPr>
            </w:pPr>
          </w:p>
        </w:tc>
        <w:tc>
          <w:tcPr>
            <w:tcW w:w="1134"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大类</w:t>
            </w:r>
          </w:p>
        </w:tc>
        <w:tc>
          <w:tcPr>
            <w:tcW w:w="1134"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小类</w:t>
            </w:r>
          </w:p>
        </w:tc>
        <w:tc>
          <w:tcPr>
            <w:tcW w:w="850" w:type="dxa"/>
            <w:vMerge w:val="continue"/>
            <w:vAlign w:val="center"/>
          </w:tcPr>
          <w:p>
            <w:pPr>
              <w:widowControl/>
              <w:jc w:val="center"/>
              <w:rPr>
                <w:rFonts w:ascii="黑体" w:hAnsi="黑体" w:eastAsia="黑体" w:cs="宋体"/>
                <w:b/>
                <w:bCs/>
                <w:color w:val="000000"/>
                <w:kern w:val="0"/>
                <w:szCs w:val="21"/>
              </w:rPr>
            </w:pP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27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134"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134"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16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tblHeader/>
          <w:jc w:val="center"/>
        </w:trPr>
        <w:tc>
          <w:tcPr>
            <w:tcW w:w="2518" w:type="dxa"/>
            <w:vMerge w:val="continue"/>
            <w:vAlign w:val="center"/>
          </w:tcPr>
          <w:p>
            <w:pPr>
              <w:widowControl/>
              <w:jc w:val="center"/>
              <w:rPr>
                <w:rFonts w:ascii="黑体" w:hAnsi="黑体" w:eastAsia="黑体" w:cs="宋体"/>
                <w:b/>
                <w:color w:val="000000"/>
                <w:kern w:val="0"/>
                <w:szCs w:val="21"/>
              </w:rPr>
            </w:pPr>
          </w:p>
        </w:tc>
        <w:tc>
          <w:tcPr>
            <w:tcW w:w="1559" w:type="dxa"/>
            <w:vMerge w:val="continue"/>
            <w:vAlign w:val="center"/>
          </w:tcPr>
          <w:p>
            <w:pPr>
              <w:widowControl/>
              <w:jc w:val="center"/>
              <w:rPr>
                <w:rFonts w:ascii="黑体" w:hAnsi="黑体" w:eastAsia="黑体" w:cs="宋体"/>
                <w:b/>
                <w:bCs/>
                <w:color w:val="000000"/>
                <w:kern w:val="0"/>
                <w:szCs w:val="21"/>
              </w:rPr>
            </w:pPr>
          </w:p>
        </w:tc>
        <w:tc>
          <w:tcPr>
            <w:tcW w:w="993"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1276" w:type="dxa"/>
            <w:gridSpan w:val="2"/>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166"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tblHeader/>
          <w:jc w:val="center"/>
        </w:trPr>
        <w:tc>
          <w:tcPr>
            <w:tcW w:w="2518" w:type="dxa"/>
            <w:vMerge w:val="continue"/>
            <w:shd w:val="clear" w:color="auto" w:fill="auto"/>
            <w:vAlign w:val="center"/>
          </w:tcPr>
          <w:p>
            <w:pPr>
              <w:widowControl/>
              <w:jc w:val="left"/>
              <w:rPr>
                <w:rFonts w:ascii="宋体" w:hAnsi="宋体" w:cs="宋体"/>
                <w:color w:val="000000"/>
                <w:kern w:val="0"/>
                <w:szCs w:val="21"/>
              </w:rPr>
            </w:pPr>
          </w:p>
        </w:tc>
        <w:tc>
          <w:tcPr>
            <w:tcW w:w="1559" w:type="dxa"/>
            <w:vMerge w:val="continue"/>
            <w:shd w:val="clear" w:color="auto" w:fill="auto"/>
            <w:vAlign w:val="center"/>
          </w:tcPr>
          <w:p>
            <w:pPr>
              <w:widowControl/>
              <w:jc w:val="left"/>
              <w:rPr>
                <w:rFonts w:ascii="宋体" w:hAnsi="宋体" w:cs="宋体"/>
                <w:color w:val="000000"/>
                <w:kern w:val="0"/>
                <w:szCs w:val="21"/>
              </w:rPr>
            </w:pPr>
          </w:p>
        </w:tc>
        <w:tc>
          <w:tcPr>
            <w:tcW w:w="993" w:type="dxa"/>
            <w:vMerge w:val="continue"/>
            <w:shd w:val="clear" w:color="auto" w:fill="auto"/>
            <w:vAlign w:val="center"/>
          </w:tcPr>
          <w:p>
            <w:pPr>
              <w:widowControl/>
              <w:jc w:val="left"/>
              <w:rPr>
                <w:rFonts w:ascii="宋体" w:hAnsi="宋体" w:cs="宋体"/>
                <w:color w:val="000000"/>
                <w:kern w:val="0"/>
                <w:szCs w:val="21"/>
              </w:rPr>
            </w:pPr>
          </w:p>
        </w:tc>
        <w:tc>
          <w:tcPr>
            <w:tcW w:w="1134" w:type="dxa"/>
            <w:vMerge w:val="continue"/>
            <w:shd w:val="clear" w:color="auto" w:fill="auto"/>
            <w:vAlign w:val="center"/>
          </w:tcPr>
          <w:p>
            <w:pPr>
              <w:widowControl/>
              <w:jc w:val="left"/>
              <w:rPr>
                <w:rFonts w:ascii="宋体" w:hAnsi="宋体" w:cs="宋体"/>
                <w:color w:val="000000"/>
                <w:kern w:val="0"/>
                <w:szCs w:val="21"/>
              </w:rPr>
            </w:pPr>
          </w:p>
        </w:tc>
        <w:tc>
          <w:tcPr>
            <w:tcW w:w="1134" w:type="dxa"/>
            <w:vMerge w:val="continue"/>
            <w:shd w:val="clear" w:color="auto" w:fill="auto"/>
            <w:vAlign w:val="center"/>
          </w:tcPr>
          <w:p>
            <w:pPr>
              <w:widowControl/>
              <w:jc w:val="left"/>
              <w:rPr>
                <w:rFonts w:ascii="宋体" w:hAnsi="宋体" w:cs="宋体"/>
                <w:color w:val="000000"/>
                <w:kern w:val="0"/>
                <w:szCs w:val="21"/>
              </w:rPr>
            </w:pPr>
          </w:p>
        </w:tc>
        <w:tc>
          <w:tcPr>
            <w:tcW w:w="850" w:type="dxa"/>
            <w:vMerge w:val="continue"/>
            <w:shd w:val="clear" w:color="auto" w:fill="auto"/>
            <w:vAlign w:val="center"/>
          </w:tcPr>
          <w:p>
            <w:pPr>
              <w:widowControl/>
              <w:jc w:val="lef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276" w:type="dxa"/>
            <w:gridSpan w:val="2"/>
            <w:vMerge w:val="continue"/>
            <w:shd w:val="clear" w:color="auto" w:fill="auto"/>
            <w:vAlign w:val="center"/>
          </w:tcPr>
          <w:p>
            <w:pPr>
              <w:widowControl/>
              <w:jc w:val="right"/>
              <w:rPr>
                <w:rFonts w:ascii="宋体" w:hAnsi="宋体" w:cs="宋体"/>
                <w:color w:val="000000"/>
                <w:kern w:val="0"/>
                <w:szCs w:val="21"/>
              </w:rPr>
            </w:pPr>
          </w:p>
        </w:tc>
        <w:tc>
          <w:tcPr>
            <w:tcW w:w="1134" w:type="dxa"/>
            <w:vMerge w:val="continue"/>
            <w:shd w:val="clear" w:color="auto" w:fill="auto"/>
            <w:vAlign w:val="center"/>
          </w:tcPr>
          <w:p>
            <w:pPr>
              <w:widowControl/>
              <w:jc w:val="right"/>
              <w:rPr>
                <w:rFonts w:ascii="宋体" w:hAnsi="宋体" w:cs="宋体"/>
                <w:color w:val="000000"/>
                <w:kern w:val="0"/>
                <w:szCs w:val="21"/>
              </w:rPr>
            </w:pPr>
          </w:p>
        </w:tc>
        <w:tc>
          <w:tcPr>
            <w:tcW w:w="1134" w:type="dxa"/>
            <w:vMerge w:val="continue"/>
            <w:shd w:val="clear" w:color="auto" w:fill="auto"/>
            <w:vAlign w:val="center"/>
          </w:tcPr>
          <w:p>
            <w:pPr>
              <w:widowControl/>
              <w:jc w:val="right"/>
              <w:rPr>
                <w:rFonts w:ascii="宋体" w:hAnsi="宋体" w:cs="宋体"/>
                <w:color w:val="000000"/>
                <w:kern w:val="0"/>
                <w:szCs w:val="21"/>
              </w:rPr>
            </w:pPr>
          </w:p>
        </w:tc>
        <w:tc>
          <w:tcPr>
            <w:tcW w:w="1166"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51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559" w:type="dxa"/>
            <w:shd w:val="clear" w:color="auto" w:fill="auto"/>
            <w:vAlign w:val="center"/>
          </w:tcPr>
          <w:p>
            <w:pPr>
              <w:widowControl/>
              <w:jc w:val="left"/>
              <w:rPr>
                <w:rFonts w:ascii="宋体" w:hAnsi="宋体" w:cs="宋体"/>
                <w:color w:val="000000"/>
                <w:kern w:val="0"/>
                <w:szCs w:val="21"/>
              </w:rPr>
            </w:pPr>
          </w:p>
        </w:tc>
        <w:tc>
          <w:tcPr>
            <w:tcW w:w="993" w:type="dxa"/>
            <w:shd w:val="clear" w:color="auto" w:fill="auto"/>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left"/>
              <w:rPr>
                <w:rFonts w:ascii="宋体" w:hAnsi="宋体" w:cs="宋体"/>
                <w:color w:val="000000"/>
                <w:kern w:val="0"/>
                <w:szCs w:val="21"/>
              </w:rPr>
            </w:pPr>
          </w:p>
        </w:tc>
        <w:tc>
          <w:tcPr>
            <w:tcW w:w="850" w:type="dxa"/>
            <w:shd w:val="clear" w:color="auto" w:fill="auto"/>
            <w:vAlign w:val="center"/>
          </w:tcPr>
          <w:p>
            <w:pPr>
              <w:widowControl/>
              <w:jc w:val="lef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18735.00</w:t>
            </w:r>
          </w:p>
        </w:tc>
        <w:tc>
          <w:tcPr>
            <w:tcW w:w="1276"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18735.00</w:t>
            </w:r>
          </w:p>
        </w:tc>
        <w:tc>
          <w:tcPr>
            <w:tcW w:w="1134" w:type="dxa"/>
            <w:shd w:val="clear" w:color="auto" w:fill="auto"/>
            <w:vAlign w:val="center"/>
          </w:tcPr>
          <w:p>
            <w:pPr>
              <w:widowControl/>
              <w:jc w:val="righ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p>
        </w:tc>
        <w:tc>
          <w:tcPr>
            <w:tcW w:w="1166"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51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环境监测与监察</w:t>
            </w:r>
          </w:p>
        </w:tc>
        <w:tc>
          <w:tcPr>
            <w:tcW w:w="1559" w:type="dxa"/>
            <w:shd w:val="clear" w:color="auto" w:fill="auto"/>
            <w:vAlign w:val="center"/>
          </w:tcPr>
          <w:p>
            <w:pPr>
              <w:widowControl/>
              <w:jc w:val="left"/>
              <w:rPr>
                <w:rFonts w:ascii="宋体" w:hAnsi="宋体" w:cs="宋体"/>
                <w:color w:val="000000"/>
                <w:kern w:val="0"/>
                <w:szCs w:val="21"/>
              </w:rPr>
            </w:pPr>
          </w:p>
        </w:tc>
        <w:tc>
          <w:tcPr>
            <w:tcW w:w="993" w:type="dxa"/>
            <w:shd w:val="clear" w:color="auto" w:fill="auto"/>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left"/>
              <w:rPr>
                <w:rFonts w:ascii="宋体" w:hAnsi="宋体" w:cs="宋体"/>
                <w:color w:val="000000"/>
                <w:kern w:val="0"/>
                <w:szCs w:val="21"/>
              </w:rPr>
            </w:pPr>
          </w:p>
        </w:tc>
        <w:tc>
          <w:tcPr>
            <w:tcW w:w="850" w:type="dxa"/>
            <w:shd w:val="clear" w:color="auto" w:fill="auto"/>
            <w:vAlign w:val="center"/>
          </w:tcPr>
          <w:p>
            <w:pPr>
              <w:widowControl/>
              <w:jc w:val="lef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1276"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1134" w:type="dxa"/>
            <w:shd w:val="clear" w:color="auto" w:fill="auto"/>
            <w:vAlign w:val="center"/>
          </w:tcPr>
          <w:p>
            <w:pPr>
              <w:widowControl/>
              <w:jc w:val="righ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p>
        </w:tc>
        <w:tc>
          <w:tcPr>
            <w:tcW w:w="1166"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51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环境监察与督查</w:t>
            </w:r>
          </w:p>
        </w:tc>
        <w:tc>
          <w:tcPr>
            <w:tcW w:w="1559" w:type="dxa"/>
            <w:shd w:val="clear" w:color="auto" w:fill="auto"/>
            <w:vAlign w:val="center"/>
          </w:tcPr>
          <w:p>
            <w:pPr>
              <w:widowControl/>
              <w:jc w:val="left"/>
              <w:rPr>
                <w:rFonts w:ascii="宋体" w:hAnsi="宋体" w:cs="宋体"/>
                <w:color w:val="000000"/>
                <w:kern w:val="0"/>
                <w:szCs w:val="21"/>
              </w:rPr>
            </w:pPr>
          </w:p>
        </w:tc>
        <w:tc>
          <w:tcPr>
            <w:tcW w:w="993" w:type="dxa"/>
            <w:shd w:val="clear" w:color="auto" w:fill="auto"/>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left"/>
              <w:rPr>
                <w:rFonts w:ascii="宋体" w:hAnsi="宋体" w:cs="宋体"/>
                <w:color w:val="000000"/>
                <w:kern w:val="0"/>
                <w:szCs w:val="21"/>
              </w:rPr>
            </w:pPr>
          </w:p>
        </w:tc>
        <w:tc>
          <w:tcPr>
            <w:tcW w:w="850" w:type="dxa"/>
            <w:shd w:val="clear" w:color="auto" w:fill="auto"/>
            <w:vAlign w:val="center"/>
          </w:tcPr>
          <w:p>
            <w:pPr>
              <w:widowControl/>
              <w:jc w:val="lef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1276"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1134" w:type="dxa"/>
            <w:shd w:val="clear" w:color="auto" w:fill="auto"/>
            <w:vAlign w:val="center"/>
          </w:tcPr>
          <w:p>
            <w:pPr>
              <w:widowControl/>
              <w:jc w:val="righ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p>
        </w:tc>
        <w:tc>
          <w:tcPr>
            <w:tcW w:w="1166"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51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环境监察与监测</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9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134"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04-企事业单位补贴</w:t>
            </w:r>
          </w:p>
        </w:tc>
        <w:tc>
          <w:tcPr>
            <w:tcW w:w="1134"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0401 企事业单位补 贴</w:t>
            </w:r>
          </w:p>
        </w:tc>
        <w:tc>
          <w:tcPr>
            <w:tcW w:w="85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本级</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1276"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1134" w:type="dxa"/>
            <w:shd w:val="clear" w:color="auto" w:fill="auto"/>
            <w:vAlign w:val="center"/>
          </w:tcPr>
          <w:p>
            <w:pPr>
              <w:widowControl/>
              <w:jc w:val="righ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p>
        </w:tc>
        <w:tc>
          <w:tcPr>
            <w:tcW w:w="1166"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51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环境污染综合防治</w:t>
            </w:r>
          </w:p>
        </w:tc>
        <w:tc>
          <w:tcPr>
            <w:tcW w:w="1559" w:type="dxa"/>
            <w:shd w:val="clear" w:color="auto" w:fill="auto"/>
            <w:vAlign w:val="center"/>
          </w:tcPr>
          <w:p>
            <w:pPr>
              <w:widowControl/>
              <w:jc w:val="left"/>
              <w:rPr>
                <w:rFonts w:ascii="宋体" w:hAnsi="宋体" w:cs="宋体"/>
                <w:color w:val="000000"/>
                <w:kern w:val="0"/>
                <w:szCs w:val="21"/>
              </w:rPr>
            </w:pPr>
          </w:p>
        </w:tc>
        <w:tc>
          <w:tcPr>
            <w:tcW w:w="993" w:type="dxa"/>
            <w:shd w:val="clear" w:color="auto" w:fill="auto"/>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left"/>
              <w:rPr>
                <w:rFonts w:ascii="宋体" w:hAnsi="宋体" w:cs="宋体"/>
                <w:color w:val="000000"/>
                <w:kern w:val="0"/>
                <w:szCs w:val="21"/>
              </w:rPr>
            </w:pPr>
          </w:p>
        </w:tc>
        <w:tc>
          <w:tcPr>
            <w:tcW w:w="850" w:type="dxa"/>
            <w:shd w:val="clear" w:color="auto" w:fill="auto"/>
            <w:vAlign w:val="center"/>
          </w:tcPr>
          <w:p>
            <w:pPr>
              <w:widowControl/>
              <w:jc w:val="lef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17347.00</w:t>
            </w:r>
          </w:p>
        </w:tc>
        <w:tc>
          <w:tcPr>
            <w:tcW w:w="1276"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17347.00</w:t>
            </w:r>
          </w:p>
        </w:tc>
        <w:tc>
          <w:tcPr>
            <w:tcW w:w="1134" w:type="dxa"/>
            <w:shd w:val="clear" w:color="auto" w:fill="auto"/>
            <w:vAlign w:val="center"/>
          </w:tcPr>
          <w:p>
            <w:pPr>
              <w:widowControl/>
              <w:jc w:val="righ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p>
        </w:tc>
        <w:tc>
          <w:tcPr>
            <w:tcW w:w="1166"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51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大气污染防治</w:t>
            </w:r>
          </w:p>
        </w:tc>
        <w:tc>
          <w:tcPr>
            <w:tcW w:w="1559" w:type="dxa"/>
            <w:shd w:val="clear" w:color="auto" w:fill="auto"/>
            <w:vAlign w:val="center"/>
          </w:tcPr>
          <w:p>
            <w:pPr>
              <w:widowControl/>
              <w:jc w:val="left"/>
              <w:rPr>
                <w:rFonts w:ascii="宋体" w:hAnsi="宋体" w:cs="宋体"/>
                <w:color w:val="000000"/>
                <w:kern w:val="0"/>
                <w:szCs w:val="21"/>
              </w:rPr>
            </w:pPr>
          </w:p>
        </w:tc>
        <w:tc>
          <w:tcPr>
            <w:tcW w:w="993" w:type="dxa"/>
            <w:shd w:val="clear" w:color="auto" w:fill="auto"/>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left"/>
              <w:rPr>
                <w:rFonts w:ascii="宋体" w:hAnsi="宋体" w:cs="宋体"/>
                <w:color w:val="000000"/>
                <w:kern w:val="0"/>
                <w:szCs w:val="21"/>
              </w:rPr>
            </w:pPr>
          </w:p>
        </w:tc>
        <w:tc>
          <w:tcPr>
            <w:tcW w:w="850" w:type="dxa"/>
            <w:shd w:val="clear" w:color="auto" w:fill="auto"/>
            <w:vAlign w:val="center"/>
          </w:tcPr>
          <w:p>
            <w:pPr>
              <w:widowControl/>
              <w:jc w:val="lef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378.00</w:t>
            </w:r>
          </w:p>
        </w:tc>
        <w:tc>
          <w:tcPr>
            <w:tcW w:w="1276"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378.00</w:t>
            </w:r>
          </w:p>
        </w:tc>
        <w:tc>
          <w:tcPr>
            <w:tcW w:w="1134" w:type="dxa"/>
            <w:shd w:val="clear" w:color="auto" w:fill="auto"/>
            <w:vAlign w:val="center"/>
          </w:tcPr>
          <w:p>
            <w:pPr>
              <w:widowControl/>
              <w:jc w:val="righ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p>
        </w:tc>
        <w:tc>
          <w:tcPr>
            <w:tcW w:w="1166"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51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大气污染防治</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9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134"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04-企事业单位补贴</w:t>
            </w:r>
          </w:p>
        </w:tc>
        <w:tc>
          <w:tcPr>
            <w:tcW w:w="1134"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0401 企事业单位补 贴</w:t>
            </w:r>
          </w:p>
        </w:tc>
        <w:tc>
          <w:tcPr>
            <w:tcW w:w="85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本级</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378.00</w:t>
            </w:r>
          </w:p>
        </w:tc>
        <w:tc>
          <w:tcPr>
            <w:tcW w:w="1276"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378.00</w:t>
            </w:r>
          </w:p>
        </w:tc>
        <w:tc>
          <w:tcPr>
            <w:tcW w:w="1134" w:type="dxa"/>
            <w:shd w:val="clear" w:color="auto" w:fill="auto"/>
            <w:vAlign w:val="center"/>
          </w:tcPr>
          <w:p>
            <w:pPr>
              <w:widowControl/>
              <w:jc w:val="righ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p>
        </w:tc>
        <w:tc>
          <w:tcPr>
            <w:tcW w:w="1166"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51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水体污染防治</w:t>
            </w:r>
          </w:p>
        </w:tc>
        <w:tc>
          <w:tcPr>
            <w:tcW w:w="1559" w:type="dxa"/>
            <w:shd w:val="clear" w:color="auto" w:fill="auto"/>
            <w:vAlign w:val="center"/>
          </w:tcPr>
          <w:p>
            <w:pPr>
              <w:widowControl/>
              <w:jc w:val="left"/>
              <w:rPr>
                <w:rFonts w:ascii="宋体" w:hAnsi="宋体" w:cs="宋体"/>
                <w:color w:val="000000"/>
                <w:kern w:val="0"/>
                <w:szCs w:val="21"/>
              </w:rPr>
            </w:pPr>
          </w:p>
        </w:tc>
        <w:tc>
          <w:tcPr>
            <w:tcW w:w="993" w:type="dxa"/>
            <w:shd w:val="clear" w:color="auto" w:fill="auto"/>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left"/>
              <w:rPr>
                <w:rFonts w:ascii="宋体" w:hAnsi="宋体" w:cs="宋体"/>
                <w:color w:val="000000"/>
                <w:kern w:val="0"/>
                <w:szCs w:val="21"/>
              </w:rPr>
            </w:pPr>
          </w:p>
        </w:tc>
        <w:tc>
          <w:tcPr>
            <w:tcW w:w="850" w:type="dxa"/>
            <w:shd w:val="clear" w:color="auto" w:fill="auto"/>
            <w:vAlign w:val="center"/>
          </w:tcPr>
          <w:p>
            <w:pPr>
              <w:widowControl/>
              <w:jc w:val="lef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16669.00</w:t>
            </w:r>
          </w:p>
        </w:tc>
        <w:tc>
          <w:tcPr>
            <w:tcW w:w="1276"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16669.00</w:t>
            </w:r>
          </w:p>
        </w:tc>
        <w:tc>
          <w:tcPr>
            <w:tcW w:w="1134" w:type="dxa"/>
            <w:shd w:val="clear" w:color="auto" w:fill="auto"/>
            <w:vAlign w:val="center"/>
          </w:tcPr>
          <w:p>
            <w:pPr>
              <w:widowControl/>
              <w:jc w:val="righ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p>
        </w:tc>
        <w:tc>
          <w:tcPr>
            <w:tcW w:w="1166"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51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水污染防治</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9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134"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04-企事业单位补贴</w:t>
            </w:r>
          </w:p>
        </w:tc>
        <w:tc>
          <w:tcPr>
            <w:tcW w:w="1134"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0401 企事业单位补 贴</w:t>
            </w:r>
          </w:p>
        </w:tc>
        <w:tc>
          <w:tcPr>
            <w:tcW w:w="85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本级</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16669.00</w:t>
            </w:r>
          </w:p>
        </w:tc>
        <w:tc>
          <w:tcPr>
            <w:tcW w:w="1276"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16669.00</w:t>
            </w:r>
          </w:p>
        </w:tc>
        <w:tc>
          <w:tcPr>
            <w:tcW w:w="1134" w:type="dxa"/>
            <w:shd w:val="clear" w:color="auto" w:fill="auto"/>
            <w:vAlign w:val="center"/>
          </w:tcPr>
          <w:p>
            <w:pPr>
              <w:widowControl/>
              <w:jc w:val="righ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p>
        </w:tc>
        <w:tc>
          <w:tcPr>
            <w:tcW w:w="1166"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51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流域、区域污染综合防治</w:t>
            </w:r>
          </w:p>
        </w:tc>
        <w:tc>
          <w:tcPr>
            <w:tcW w:w="1559" w:type="dxa"/>
            <w:shd w:val="clear" w:color="auto" w:fill="auto"/>
            <w:vAlign w:val="center"/>
          </w:tcPr>
          <w:p>
            <w:pPr>
              <w:widowControl/>
              <w:jc w:val="left"/>
              <w:rPr>
                <w:rFonts w:ascii="宋体" w:hAnsi="宋体" w:cs="宋体"/>
                <w:color w:val="000000"/>
                <w:kern w:val="0"/>
                <w:szCs w:val="21"/>
              </w:rPr>
            </w:pPr>
          </w:p>
        </w:tc>
        <w:tc>
          <w:tcPr>
            <w:tcW w:w="993" w:type="dxa"/>
            <w:shd w:val="clear" w:color="auto" w:fill="auto"/>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left"/>
              <w:rPr>
                <w:rFonts w:ascii="宋体" w:hAnsi="宋体" w:cs="宋体"/>
                <w:color w:val="000000"/>
                <w:kern w:val="0"/>
                <w:szCs w:val="21"/>
              </w:rPr>
            </w:pPr>
          </w:p>
        </w:tc>
        <w:tc>
          <w:tcPr>
            <w:tcW w:w="850" w:type="dxa"/>
            <w:shd w:val="clear" w:color="auto" w:fill="auto"/>
            <w:vAlign w:val="center"/>
          </w:tcPr>
          <w:p>
            <w:pPr>
              <w:widowControl/>
              <w:jc w:val="lef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1276"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1134" w:type="dxa"/>
            <w:shd w:val="clear" w:color="auto" w:fill="auto"/>
            <w:vAlign w:val="center"/>
          </w:tcPr>
          <w:p>
            <w:pPr>
              <w:widowControl/>
              <w:jc w:val="righ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p>
        </w:tc>
        <w:tc>
          <w:tcPr>
            <w:tcW w:w="1166"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51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土壤污染防治</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9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134"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04-企事业单位补贴</w:t>
            </w:r>
          </w:p>
        </w:tc>
        <w:tc>
          <w:tcPr>
            <w:tcW w:w="1134"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0401 企事业单位补 贴</w:t>
            </w:r>
          </w:p>
        </w:tc>
        <w:tc>
          <w:tcPr>
            <w:tcW w:w="85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本级</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1276"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1134" w:type="dxa"/>
            <w:shd w:val="clear" w:color="auto" w:fill="auto"/>
            <w:vAlign w:val="center"/>
          </w:tcPr>
          <w:p>
            <w:pPr>
              <w:widowControl/>
              <w:jc w:val="righ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p>
        </w:tc>
        <w:tc>
          <w:tcPr>
            <w:tcW w:w="1166" w:type="dxa"/>
            <w:shd w:val="clear" w:color="auto" w:fill="auto"/>
            <w:vAlign w:val="center"/>
          </w:tcPr>
          <w:p>
            <w:pPr>
              <w:widowControl/>
              <w:jc w:val="right"/>
              <w:rPr>
                <w:rFonts w:ascii="宋体" w:hAnsi="宋体" w:cs="宋体"/>
                <w:color w:val="000000"/>
                <w:kern w:val="0"/>
                <w:szCs w:val="21"/>
              </w:rPr>
            </w:pPr>
          </w:p>
        </w:tc>
      </w:tr>
    </w:tbl>
    <w:p>
      <w:pPr>
        <w:spacing w:line="20" w:lineRule="exact"/>
      </w:pPr>
    </w:p>
    <w:p>
      <w:pPr>
        <w:jc w:val="left"/>
        <w:rPr>
          <w:rFonts w:ascii="仿宋" w:hAnsi="仿宋" w:eastAsia="仿宋"/>
          <w:color w:val="000000"/>
          <w:sz w:val="28"/>
        </w:rPr>
        <w:sectPr>
          <w:headerReference r:id="rId13" w:type="default"/>
          <w:pgSz w:w="16838" w:h="11906" w:orient="landscape"/>
          <w:pgMar w:top="1800" w:right="1440" w:bottom="1800" w:left="1440" w:header="851" w:footer="992" w:gutter="0"/>
          <w:cols w:space="425" w:num="1"/>
          <w:docGrid w:type="lines" w:linePitch="312" w:charSpace="0"/>
        </w:sectPr>
      </w:pPr>
    </w:p>
    <w:p>
      <w:pPr>
        <w:pStyle w:val="6"/>
      </w:pPr>
      <w:bookmarkStart w:id="7" w:name="_Toc476241461"/>
      <w:r>
        <w:rPr>
          <w:rFonts w:hint="eastAsia"/>
        </w:rPr>
        <w:t>部门“三公”及会议培训经费预算</w:t>
      </w:r>
      <w:bookmarkEnd w:id="7"/>
    </w:p>
    <w:tbl>
      <w:tblPr>
        <w:tblStyle w:val="9"/>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626唐山市环境保护局</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60.51</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60.51</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（一）因公出国境费用</w:t>
            </w:r>
          </w:p>
        </w:tc>
        <w:tc>
          <w:tcPr>
            <w:tcW w:w="1843" w:type="dxa"/>
            <w:gridSpan w:val="2"/>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58.00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58.00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2.51</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2.51</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二、会议费</w:t>
            </w:r>
          </w:p>
        </w:tc>
        <w:tc>
          <w:tcPr>
            <w:tcW w:w="1843" w:type="dxa"/>
            <w:gridSpan w:val="2"/>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37.14</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37.14</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97.65</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97.65</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jc w:val="left"/>
        <w:rPr>
          <w:rFonts w:ascii="仿宋" w:hAnsi="仿宋" w:eastAsia="仿宋"/>
          <w:color w:val="000000"/>
          <w:sz w:val="28"/>
        </w:rPr>
        <w:sectPr>
          <w:headerReference r:id="rId14" w:type="default"/>
          <w:pgSz w:w="16838" w:h="11906" w:orient="landscape"/>
          <w:pgMar w:top="1800" w:right="1440" w:bottom="1800" w:left="1440" w:header="851" w:footer="992" w:gutter="0"/>
          <w:cols w:space="425" w:num="1"/>
          <w:docGrid w:type="lines" w:linePitch="312" w:charSpace="0"/>
        </w:sectPr>
      </w:pPr>
    </w:p>
    <w:p>
      <w:pPr>
        <w:pStyle w:val="6"/>
      </w:pPr>
      <w:bookmarkStart w:id="8" w:name="_Toc476241462"/>
      <w:r>
        <w:rPr>
          <w:rFonts w:hint="eastAsia"/>
        </w:rPr>
        <w:t>部门政府采购预算</w:t>
      </w:r>
      <w:bookmarkEnd w:id="8"/>
      <w:r>
        <w:rPr>
          <w:rFonts w:hint="eastAsia"/>
          <w:sz w:val="28"/>
        </w:rPr>
        <w:t xml:space="preserve">                      </w:t>
      </w:r>
      <w:r>
        <w:t xml:space="preserve">                                                </w:t>
      </w:r>
    </w:p>
    <w:tbl>
      <w:tblPr>
        <w:tblStyle w:val="9"/>
        <w:tblW w:w="15287" w:type="dxa"/>
        <w:jc w:val="center"/>
        <w:tblInd w:w="-1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951"/>
        <w:gridCol w:w="1622"/>
        <w:gridCol w:w="684"/>
        <w:gridCol w:w="1310"/>
        <w:gridCol w:w="1220"/>
        <w:gridCol w:w="816"/>
        <w:gridCol w:w="548"/>
        <w:gridCol w:w="1111"/>
        <w:gridCol w:w="614"/>
        <w:gridCol w:w="1011"/>
        <w:gridCol w:w="1011"/>
        <w:gridCol w:w="939"/>
        <w:gridCol w:w="939"/>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0447" w:type="dxa"/>
            <w:gridSpan w:val="10"/>
            <w:tcBorders>
              <w:top w:val="nil"/>
              <w:left w:val="nil"/>
              <w:bottom w:val="single" w:color="auto" w:sz="4" w:space="0"/>
              <w:right w:val="nil"/>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626唐山市环境保护局</w:t>
            </w:r>
          </w:p>
        </w:tc>
        <w:tc>
          <w:tcPr>
            <w:tcW w:w="4840" w:type="dxa"/>
            <w:gridSpan w:val="5"/>
            <w:tcBorders>
              <w:top w:val="nil"/>
              <w:left w:val="nil"/>
              <w:bottom w:val="single" w:color="auto" w:sz="4" w:space="0"/>
              <w:right w:val="nil"/>
            </w:tcBorders>
            <w:shd w:val="clear" w:color="auto" w:fill="auto"/>
            <w:vAlign w:val="center"/>
          </w:tcPr>
          <w:p>
            <w:pPr>
              <w:widowControl/>
              <w:jc w:val="right"/>
              <w:rPr>
                <w:rFonts w:ascii="黑体" w:hAnsi="黑体" w:eastAsia="黑体" w:cs="宋体"/>
                <w:b/>
                <w:bCs/>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571"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单位名称</w:t>
            </w:r>
          </w:p>
        </w:tc>
        <w:tc>
          <w:tcPr>
            <w:tcW w:w="3257" w:type="dxa"/>
            <w:gridSpan w:val="3"/>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1310"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政府采购目录序号</w:t>
            </w:r>
          </w:p>
        </w:tc>
        <w:tc>
          <w:tcPr>
            <w:tcW w:w="1220"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采购物品名称</w:t>
            </w:r>
          </w:p>
        </w:tc>
        <w:tc>
          <w:tcPr>
            <w:tcW w:w="816"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产品规格</w:t>
            </w:r>
          </w:p>
        </w:tc>
        <w:tc>
          <w:tcPr>
            <w:tcW w:w="548"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w:t>
            </w:r>
          </w:p>
        </w:tc>
        <w:tc>
          <w:tcPr>
            <w:tcW w:w="1111" w:type="dxa"/>
            <w:vMerge w:val="restart"/>
            <w:tcBorders>
              <w:top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单价(元)</w:t>
            </w:r>
          </w:p>
        </w:tc>
        <w:tc>
          <w:tcPr>
            <w:tcW w:w="614"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数量</w:t>
            </w:r>
          </w:p>
        </w:tc>
        <w:tc>
          <w:tcPr>
            <w:tcW w:w="4840" w:type="dxa"/>
            <w:gridSpan w:val="5"/>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571" w:type="dxa"/>
            <w:vMerge w:val="continue"/>
            <w:vAlign w:val="center"/>
          </w:tcPr>
          <w:p>
            <w:pPr>
              <w:widowControl/>
              <w:jc w:val="center"/>
              <w:rPr>
                <w:rFonts w:ascii="黑体" w:hAnsi="黑体" w:eastAsia="黑体" w:cs="宋体"/>
                <w:b/>
                <w:color w:val="000000"/>
                <w:kern w:val="0"/>
                <w:szCs w:val="21"/>
              </w:rPr>
            </w:pPr>
          </w:p>
        </w:tc>
        <w:tc>
          <w:tcPr>
            <w:tcW w:w="95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功能分类科目编码</w:t>
            </w:r>
          </w:p>
        </w:tc>
        <w:tc>
          <w:tcPr>
            <w:tcW w:w="1622"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项目名称</w:t>
            </w:r>
          </w:p>
        </w:tc>
        <w:tc>
          <w:tcPr>
            <w:tcW w:w="684"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项目类型</w:t>
            </w:r>
          </w:p>
        </w:tc>
        <w:tc>
          <w:tcPr>
            <w:tcW w:w="1310" w:type="dxa"/>
            <w:vMerge w:val="continue"/>
            <w:vAlign w:val="center"/>
          </w:tcPr>
          <w:p>
            <w:pPr>
              <w:widowControl/>
              <w:jc w:val="center"/>
              <w:rPr>
                <w:rFonts w:ascii="黑体" w:hAnsi="黑体" w:eastAsia="黑体" w:cs="宋体"/>
                <w:b/>
                <w:color w:val="000000"/>
                <w:kern w:val="0"/>
                <w:szCs w:val="21"/>
              </w:rPr>
            </w:pPr>
          </w:p>
        </w:tc>
        <w:tc>
          <w:tcPr>
            <w:tcW w:w="1220" w:type="dxa"/>
            <w:vMerge w:val="continue"/>
            <w:vAlign w:val="center"/>
          </w:tcPr>
          <w:p>
            <w:pPr>
              <w:widowControl/>
              <w:jc w:val="center"/>
              <w:rPr>
                <w:rFonts w:ascii="黑体" w:hAnsi="黑体" w:eastAsia="黑体" w:cs="宋体"/>
                <w:b/>
                <w:color w:val="000000"/>
                <w:kern w:val="0"/>
                <w:szCs w:val="21"/>
              </w:rPr>
            </w:pPr>
          </w:p>
        </w:tc>
        <w:tc>
          <w:tcPr>
            <w:tcW w:w="816" w:type="dxa"/>
            <w:vMerge w:val="continue"/>
            <w:vAlign w:val="center"/>
          </w:tcPr>
          <w:p>
            <w:pPr>
              <w:widowControl/>
              <w:jc w:val="center"/>
              <w:rPr>
                <w:rFonts w:ascii="黑体" w:hAnsi="黑体" w:eastAsia="黑体" w:cs="宋体"/>
                <w:b/>
                <w:color w:val="000000"/>
                <w:kern w:val="0"/>
                <w:szCs w:val="21"/>
              </w:rPr>
            </w:pPr>
          </w:p>
        </w:tc>
        <w:tc>
          <w:tcPr>
            <w:tcW w:w="548" w:type="dxa"/>
            <w:vMerge w:val="continue"/>
            <w:vAlign w:val="center"/>
          </w:tcPr>
          <w:p>
            <w:pPr>
              <w:widowControl/>
              <w:jc w:val="center"/>
              <w:rPr>
                <w:rFonts w:ascii="黑体" w:hAnsi="黑体" w:eastAsia="黑体" w:cs="宋体"/>
                <w:b/>
                <w:color w:val="000000"/>
                <w:kern w:val="0"/>
                <w:szCs w:val="21"/>
              </w:rPr>
            </w:pPr>
          </w:p>
        </w:tc>
        <w:tc>
          <w:tcPr>
            <w:tcW w:w="1111" w:type="dxa"/>
            <w:vMerge w:val="continue"/>
            <w:vAlign w:val="center"/>
          </w:tcPr>
          <w:p>
            <w:pPr>
              <w:widowControl/>
              <w:jc w:val="center"/>
              <w:rPr>
                <w:rFonts w:ascii="黑体" w:hAnsi="黑体" w:eastAsia="黑体" w:cs="宋体"/>
                <w:b/>
                <w:color w:val="000000"/>
                <w:kern w:val="0"/>
                <w:szCs w:val="21"/>
              </w:rPr>
            </w:pPr>
          </w:p>
        </w:tc>
        <w:tc>
          <w:tcPr>
            <w:tcW w:w="614" w:type="dxa"/>
            <w:vMerge w:val="continue"/>
            <w:vAlign w:val="center"/>
          </w:tcPr>
          <w:p>
            <w:pPr>
              <w:widowControl/>
              <w:jc w:val="center"/>
              <w:rPr>
                <w:rFonts w:ascii="黑体" w:hAnsi="黑体" w:eastAsia="黑体" w:cs="宋体"/>
                <w:b/>
                <w:color w:val="000000"/>
                <w:kern w:val="0"/>
                <w:szCs w:val="21"/>
              </w:rPr>
            </w:pPr>
          </w:p>
        </w:tc>
        <w:tc>
          <w:tcPr>
            <w:tcW w:w="101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总计</w:t>
            </w:r>
          </w:p>
        </w:tc>
        <w:tc>
          <w:tcPr>
            <w:tcW w:w="3829" w:type="dxa"/>
            <w:gridSpan w:val="4"/>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1571" w:type="dxa"/>
            <w:vMerge w:val="continue"/>
            <w:vAlign w:val="center"/>
          </w:tcPr>
          <w:p>
            <w:pPr>
              <w:widowControl/>
              <w:jc w:val="center"/>
              <w:rPr>
                <w:rFonts w:ascii="黑体" w:hAnsi="黑体" w:eastAsia="黑体" w:cs="宋体"/>
                <w:b/>
                <w:color w:val="000000"/>
                <w:kern w:val="0"/>
                <w:szCs w:val="21"/>
              </w:rPr>
            </w:pPr>
          </w:p>
        </w:tc>
        <w:tc>
          <w:tcPr>
            <w:tcW w:w="951" w:type="dxa"/>
            <w:vMerge w:val="continue"/>
            <w:vAlign w:val="center"/>
          </w:tcPr>
          <w:p>
            <w:pPr>
              <w:widowControl/>
              <w:jc w:val="center"/>
              <w:rPr>
                <w:rFonts w:ascii="黑体" w:hAnsi="黑体" w:eastAsia="黑体" w:cs="宋体"/>
                <w:b/>
                <w:color w:val="000000"/>
                <w:kern w:val="0"/>
                <w:szCs w:val="21"/>
              </w:rPr>
            </w:pPr>
          </w:p>
        </w:tc>
        <w:tc>
          <w:tcPr>
            <w:tcW w:w="1622" w:type="dxa"/>
            <w:vMerge w:val="continue"/>
            <w:vAlign w:val="center"/>
          </w:tcPr>
          <w:p>
            <w:pPr>
              <w:widowControl/>
              <w:jc w:val="center"/>
              <w:rPr>
                <w:rFonts w:ascii="黑体" w:hAnsi="黑体" w:eastAsia="黑体" w:cs="宋体"/>
                <w:b/>
                <w:color w:val="000000"/>
                <w:kern w:val="0"/>
                <w:szCs w:val="21"/>
              </w:rPr>
            </w:pPr>
          </w:p>
        </w:tc>
        <w:tc>
          <w:tcPr>
            <w:tcW w:w="684" w:type="dxa"/>
            <w:vMerge w:val="continue"/>
            <w:vAlign w:val="center"/>
          </w:tcPr>
          <w:p>
            <w:pPr>
              <w:widowControl/>
              <w:jc w:val="center"/>
              <w:rPr>
                <w:rFonts w:ascii="黑体" w:hAnsi="黑体" w:eastAsia="黑体" w:cs="宋体"/>
                <w:b/>
                <w:color w:val="000000"/>
                <w:kern w:val="0"/>
                <w:szCs w:val="21"/>
              </w:rPr>
            </w:pPr>
          </w:p>
        </w:tc>
        <w:tc>
          <w:tcPr>
            <w:tcW w:w="1310" w:type="dxa"/>
            <w:vMerge w:val="continue"/>
            <w:vAlign w:val="center"/>
          </w:tcPr>
          <w:p>
            <w:pPr>
              <w:widowControl/>
              <w:jc w:val="center"/>
              <w:rPr>
                <w:rFonts w:ascii="黑体" w:hAnsi="黑体" w:eastAsia="黑体" w:cs="宋体"/>
                <w:b/>
                <w:color w:val="000000"/>
                <w:kern w:val="0"/>
                <w:szCs w:val="21"/>
              </w:rPr>
            </w:pPr>
          </w:p>
        </w:tc>
        <w:tc>
          <w:tcPr>
            <w:tcW w:w="1220" w:type="dxa"/>
            <w:vMerge w:val="continue"/>
            <w:vAlign w:val="center"/>
          </w:tcPr>
          <w:p>
            <w:pPr>
              <w:widowControl/>
              <w:jc w:val="center"/>
              <w:rPr>
                <w:rFonts w:ascii="黑体" w:hAnsi="黑体" w:eastAsia="黑体" w:cs="宋体"/>
                <w:b/>
                <w:color w:val="000000"/>
                <w:kern w:val="0"/>
                <w:szCs w:val="21"/>
              </w:rPr>
            </w:pPr>
          </w:p>
        </w:tc>
        <w:tc>
          <w:tcPr>
            <w:tcW w:w="816" w:type="dxa"/>
            <w:vMerge w:val="continue"/>
            <w:vAlign w:val="center"/>
          </w:tcPr>
          <w:p>
            <w:pPr>
              <w:widowControl/>
              <w:jc w:val="center"/>
              <w:rPr>
                <w:rFonts w:ascii="黑体" w:hAnsi="黑体" w:eastAsia="黑体" w:cs="宋体"/>
                <w:b/>
                <w:color w:val="000000"/>
                <w:kern w:val="0"/>
                <w:szCs w:val="21"/>
              </w:rPr>
            </w:pPr>
          </w:p>
        </w:tc>
        <w:tc>
          <w:tcPr>
            <w:tcW w:w="548" w:type="dxa"/>
            <w:vMerge w:val="continue"/>
            <w:vAlign w:val="center"/>
          </w:tcPr>
          <w:p>
            <w:pPr>
              <w:widowControl/>
              <w:jc w:val="center"/>
              <w:rPr>
                <w:rFonts w:ascii="黑体" w:hAnsi="黑体" w:eastAsia="黑体" w:cs="宋体"/>
                <w:b/>
                <w:color w:val="000000"/>
                <w:kern w:val="0"/>
                <w:szCs w:val="21"/>
              </w:rPr>
            </w:pPr>
          </w:p>
        </w:tc>
        <w:tc>
          <w:tcPr>
            <w:tcW w:w="1111" w:type="dxa"/>
            <w:vMerge w:val="continue"/>
            <w:vAlign w:val="center"/>
          </w:tcPr>
          <w:p>
            <w:pPr>
              <w:widowControl/>
              <w:jc w:val="center"/>
              <w:rPr>
                <w:rFonts w:ascii="黑体" w:hAnsi="黑体" w:eastAsia="黑体" w:cs="宋体"/>
                <w:b/>
                <w:color w:val="000000"/>
                <w:kern w:val="0"/>
                <w:szCs w:val="21"/>
              </w:rPr>
            </w:pPr>
          </w:p>
        </w:tc>
        <w:tc>
          <w:tcPr>
            <w:tcW w:w="614" w:type="dxa"/>
            <w:vMerge w:val="continue"/>
            <w:vAlign w:val="center"/>
          </w:tcPr>
          <w:p>
            <w:pPr>
              <w:widowControl/>
              <w:jc w:val="center"/>
              <w:rPr>
                <w:rFonts w:ascii="黑体" w:hAnsi="黑体" w:eastAsia="黑体" w:cs="宋体"/>
                <w:b/>
                <w:color w:val="000000"/>
                <w:kern w:val="0"/>
                <w:szCs w:val="21"/>
              </w:rPr>
            </w:pPr>
          </w:p>
        </w:tc>
        <w:tc>
          <w:tcPr>
            <w:tcW w:w="1011" w:type="dxa"/>
            <w:vMerge w:val="continue"/>
            <w:vAlign w:val="center"/>
          </w:tcPr>
          <w:p>
            <w:pPr>
              <w:widowControl/>
              <w:jc w:val="center"/>
              <w:rPr>
                <w:rFonts w:ascii="黑体" w:hAnsi="黑体" w:eastAsia="黑体" w:cs="宋体"/>
                <w:b/>
                <w:color w:val="000000"/>
                <w:kern w:val="0"/>
                <w:szCs w:val="21"/>
              </w:rPr>
            </w:pPr>
          </w:p>
        </w:tc>
        <w:tc>
          <w:tcPr>
            <w:tcW w:w="101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一般公共预算拨款安排</w:t>
            </w:r>
          </w:p>
        </w:tc>
        <w:tc>
          <w:tcPr>
            <w:tcW w:w="93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政府性基金预算拨款安排</w:t>
            </w:r>
          </w:p>
        </w:tc>
        <w:tc>
          <w:tcPr>
            <w:tcW w:w="93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4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1571" w:type="dxa"/>
            <w:vMerge w:val="continue"/>
            <w:vAlign w:val="center"/>
          </w:tcPr>
          <w:p>
            <w:pPr>
              <w:widowControl/>
              <w:jc w:val="center"/>
              <w:rPr>
                <w:rFonts w:ascii="宋体" w:hAnsi="宋体" w:cs="宋体"/>
                <w:color w:val="000000"/>
                <w:kern w:val="0"/>
                <w:sz w:val="22"/>
              </w:rPr>
            </w:pPr>
          </w:p>
        </w:tc>
        <w:tc>
          <w:tcPr>
            <w:tcW w:w="951" w:type="dxa"/>
            <w:vMerge w:val="continue"/>
            <w:vAlign w:val="center"/>
          </w:tcPr>
          <w:p>
            <w:pPr>
              <w:widowControl/>
              <w:jc w:val="center"/>
              <w:rPr>
                <w:rFonts w:ascii="宋体" w:hAnsi="宋体" w:cs="宋体"/>
                <w:color w:val="000000"/>
                <w:kern w:val="0"/>
                <w:sz w:val="22"/>
              </w:rPr>
            </w:pPr>
          </w:p>
        </w:tc>
        <w:tc>
          <w:tcPr>
            <w:tcW w:w="1622" w:type="dxa"/>
            <w:vMerge w:val="continue"/>
            <w:vAlign w:val="center"/>
          </w:tcPr>
          <w:p>
            <w:pPr>
              <w:widowControl/>
              <w:jc w:val="center"/>
              <w:rPr>
                <w:rFonts w:ascii="宋体" w:hAnsi="宋体" w:cs="宋体"/>
                <w:color w:val="000000"/>
                <w:kern w:val="0"/>
                <w:sz w:val="22"/>
              </w:rPr>
            </w:pPr>
          </w:p>
        </w:tc>
        <w:tc>
          <w:tcPr>
            <w:tcW w:w="684" w:type="dxa"/>
            <w:vMerge w:val="continue"/>
            <w:vAlign w:val="center"/>
          </w:tcPr>
          <w:p>
            <w:pPr>
              <w:widowControl/>
              <w:jc w:val="center"/>
              <w:rPr>
                <w:rFonts w:ascii="宋体" w:hAnsi="宋体" w:cs="宋体"/>
                <w:color w:val="000000"/>
                <w:kern w:val="0"/>
                <w:sz w:val="22"/>
              </w:rPr>
            </w:pPr>
          </w:p>
        </w:tc>
        <w:tc>
          <w:tcPr>
            <w:tcW w:w="1310" w:type="dxa"/>
            <w:vMerge w:val="continue"/>
            <w:vAlign w:val="center"/>
          </w:tcPr>
          <w:p>
            <w:pPr>
              <w:widowControl/>
              <w:jc w:val="center"/>
              <w:rPr>
                <w:rFonts w:ascii="宋体" w:hAnsi="宋体" w:cs="宋体"/>
                <w:color w:val="000000"/>
                <w:kern w:val="0"/>
                <w:sz w:val="22"/>
              </w:rPr>
            </w:pPr>
          </w:p>
        </w:tc>
        <w:tc>
          <w:tcPr>
            <w:tcW w:w="1220" w:type="dxa"/>
            <w:vMerge w:val="continue"/>
            <w:vAlign w:val="center"/>
          </w:tcPr>
          <w:p>
            <w:pPr>
              <w:widowControl/>
              <w:jc w:val="center"/>
              <w:rPr>
                <w:rFonts w:ascii="宋体" w:hAnsi="宋体" w:cs="宋体"/>
                <w:color w:val="000000"/>
                <w:kern w:val="0"/>
                <w:sz w:val="22"/>
              </w:rPr>
            </w:pPr>
          </w:p>
        </w:tc>
        <w:tc>
          <w:tcPr>
            <w:tcW w:w="816" w:type="dxa"/>
            <w:vMerge w:val="continue"/>
            <w:vAlign w:val="center"/>
          </w:tcPr>
          <w:p>
            <w:pPr>
              <w:widowControl/>
              <w:jc w:val="center"/>
              <w:rPr>
                <w:rFonts w:ascii="宋体" w:hAnsi="宋体" w:cs="宋体"/>
                <w:color w:val="000000"/>
                <w:kern w:val="0"/>
                <w:sz w:val="22"/>
              </w:rPr>
            </w:pPr>
          </w:p>
        </w:tc>
        <w:tc>
          <w:tcPr>
            <w:tcW w:w="548" w:type="dxa"/>
            <w:vMerge w:val="continue"/>
            <w:vAlign w:val="center"/>
          </w:tcPr>
          <w:p>
            <w:pPr>
              <w:widowControl/>
              <w:jc w:val="center"/>
              <w:rPr>
                <w:rFonts w:ascii="宋体" w:hAnsi="宋体" w:cs="宋体"/>
                <w:color w:val="000000"/>
                <w:kern w:val="0"/>
                <w:sz w:val="22"/>
              </w:rPr>
            </w:pPr>
          </w:p>
        </w:tc>
        <w:tc>
          <w:tcPr>
            <w:tcW w:w="1111" w:type="dxa"/>
            <w:vMerge w:val="continue"/>
            <w:vAlign w:val="center"/>
          </w:tcPr>
          <w:p>
            <w:pPr>
              <w:widowControl/>
              <w:jc w:val="center"/>
              <w:rPr>
                <w:rFonts w:ascii="宋体" w:hAnsi="宋体" w:cs="宋体"/>
                <w:color w:val="000000"/>
                <w:kern w:val="0"/>
                <w:sz w:val="22"/>
              </w:rPr>
            </w:pPr>
          </w:p>
        </w:tc>
        <w:tc>
          <w:tcPr>
            <w:tcW w:w="614" w:type="dxa"/>
            <w:vMerge w:val="continue"/>
            <w:vAlign w:val="center"/>
          </w:tcPr>
          <w:p>
            <w:pPr>
              <w:widowControl/>
              <w:jc w:val="center"/>
              <w:rPr>
                <w:rFonts w:ascii="宋体" w:hAnsi="宋体" w:cs="宋体"/>
                <w:color w:val="000000"/>
                <w:kern w:val="0"/>
                <w:sz w:val="22"/>
              </w:rPr>
            </w:pPr>
          </w:p>
        </w:tc>
        <w:tc>
          <w:tcPr>
            <w:tcW w:w="1011" w:type="dxa"/>
            <w:vMerge w:val="continue"/>
            <w:vAlign w:val="center"/>
          </w:tcPr>
          <w:p>
            <w:pPr>
              <w:widowControl/>
              <w:jc w:val="center"/>
              <w:rPr>
                <w:rFonts w:ascii="宋体" w:hAnsi="宋体" w:cs="宋体"/>
                <w:color w:val="000000"/>
                <w:kern w:val="0"/>
                <w:sz w:val="22"/>
              </w:rPr>
            </w:pPr>
          </w:p>
        </w:tc>
        <w:tc>
          <w:tcPr>
            <w:tcW w:w="1011" w:type="dxa"/>
            <w:vMerge w:val="continue"/>
            <w:vAlign w:val="center"/>
          </w:tcPr>
          <w:p>
            <w:pPr>
              <w:widowControl/>
              <w:jc w:val="center"/>
              <w:rPr>
                <w:rFonts w:ascii="宋体" w:hAnsi="宋体" w:cs="宋体"/>
                <w:color w:val="000000"/>
                <w:kern w:val="0"/>
                <w:sz w:val="22"/>
              </w:rPr>
            </w:pPr>
          </w:p>
        </w:tc>
        <w:tc>
          <w:tcPr>
            <w:tcW w:w="939" w:type="dxa"/>
            <w:vMerge w:val="continue"/>
            <w:vAlign w:val="center"/>
          </w:tcPr>
          <w:p>
            <w:pPr>
              <w:widowControl/>
              <w:jc w:val="center"/>
              <w:rPr>
                <w:rFonts w:ascii="宋体" w:hAnsi="宋体" w:cs="宋体"/>
                <w:color w:val="000000"/>
                <w:kern w:val="0"/>
                <w:sz w:val="22"/>
              </w:rPr>
            </w:pPr>
          </w:p>
        </w:tc>
        <w:tc>
          <w:tcPr>
            <w:tcW w:w="939" w:type="dxa"/>
            <w:vMerge w:val="continue"/>
            <w:vAlign w:val="center"/>
          </w:tcPr>
          <w:p>
            <w:pPr>
              <w:widowControl/>
              <w:jc w:val="center"/>
              <w:rPr>
                <w:rFonts w:ascii="宋体" w:hAnsi="宋体" w:cs="宋体"/>
                <w:color w:val="000000"/>
                <w:kern w:val="0"/>
                <w:sz w:val="22"/>
              </w:rPr>
            </w:pPr>
          </w:p>
        </w:tc>
        <w:tc>
          <w:tcPr>
            <w:tcW w:w="940" w:type="dxa"/>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571" w:type="dxa"/>
            <w:vMerge w:val="continue"/>
            <w:shd w:val="clear" w:color="auto" w:fill="auto"/>
            <w:vAlign w:val="center"/>
          </w:tcPr>
          <w:p>
            <w:pPr>
              <w:widowControl/>
              <w:jc w:val="left"/>
              <w:rPr>
                <w:rFonts w:ascii="宋体" w:hAnsi="宋体" w:cs="宋体"/>
                <w:color w:val="000000"/>
                <w:kern w:val="0"/>
                <w:szCs w:val="21"/>
              </w:rPr>
            </w:pPr>
          </w:p>
        </w:tc>
        <w:tc>
          <w:tcPr>
            <w:tcW w:w="951" w:type="dxa"/>
            <w:vMerge w:val="continue"/>
            <w:shd w:val="clear" w:color="auto" w:fill="auto"/>
            <w:vAlign w:val="center"/>
          </w:tcPr>
          <w:p>
            <w:pPr>
              <w:widowControl/>
              <w:jc w:val="left"/>
              <w:rPr>
                <w:rFonts w:ascii="宋体" w:hAnsi="宋体" w:cs="宋体"/>
                <w:color w:val="000000"/>
                <w:kern w:val="0"/>
                <w:szCs w:val="21"/>
              </w:rPr>
            </w:pPr>
          </w:p>
        </w:tc>
        <w:tc>
          <w:tcPr>
            <w:tcW w:w="1622" w:type="dxa"/>
            <w:vMerge w:val="continue"/>
            <w:shd w:val="clear" w:color="auto" w:fill="auto"/>
            <w:vAlign w:val="center"/>
          </w:tcPr>
          <w:p>
            <w:pPr>
              <w:widowControl/>
              <w:jc w:val="left"/>
              <w:rPr>
                <w:rFonts w:ascii="宋体" w:hAnsi="宋体" w:cs="宋体"/>
                <w:color w:val="000000"/>
                <w:kern w:val="0"/>
                <w:szCs w:val="21"/>
              </w:rPr>
            </w:pPr>
          </w:p>
        </w:tc>
        <w:tc>
          <w:tcPr>
            <w:tcW w:w="684" w:type="dxa"/>
            <w:vMerge w:val="continue"/>
            <w:shd w:val="clear" w:color="auto" w:fill="auto"/>
            <w:vAlign w:val="center"/>
          </w:tcPr>
          <w:p>
            <w:pPr>
              <w:widowControl/>
              <w:jc w:val="left"/>
              <w:rPr>
                <w:rFonts w:ascii="宋体" w:hAnsi="宋体" w:cs="宋体"/>
                <w:color w:val="000000"/>
                <w:kern w:val="0"/>
                <w:szCs w:val="21"/>
              </w:rPr>
            </w:pPr>
          </w:p>
        </w:tc>
        <w:tc>
          <w:tcPr>
            <w:tcW w:w="1310" w:type="dxa"/>
            <w:vMerge w:val="continue"/>
            <w:shd w:val="clear" w:color="auto" w:fill="auto"/>
            <w:vAlign w:val="center"/>
          </w:tcPr>
          <w:p>
            <w:pPr>
              <w:widowControl/>
              <w:jc w:val="left"/>
              <w:rPr>
                <w:rFonts w:ascii="宋体" w:hAnsi="宋体" w:cs="宋体"/>
                <w:color w:val="000000"/>
                <w:kern w:val="0"/>
                <w:szCs w:val="21"/>
              </w:rPr>
            </w:pPr>
          </w:p>
        </w:tc>
        <w:tc>
          <w:tcPr>
            <w:tcW w:w="1220" w:type="dxa"/>
            <w:vMerge w:val="continue"/>
            <w:shd w:val="clear" w:color="auto" w:fill="auto"/>
            <w:vAlign w:val="center"/>
          </w:tcPr>
          <w:p>
            <w:pPr>
              <w:widowControl/>
              <w:jc w:val="left"/>
              <w:rPr>
                <w:rFonts w:ascii="宋体" w:hAnsi="宋体" w:cs="宋体"/>
                <w:color w:val="000000"/>
                <w:kern w:val="0"/>
                <w:szCs w:val="21"/>
              </w:rPr>
            </w:pPr>
          </w:p>
        </w:tc>
        <w:tc>
          <w:tcPr>
            <w:tcW w:w="816" w:type="dxa"/>
            <w:vMerge w:val="continue"/>
            <w:shd w:val="clear" w:color="auto" w:fill="auto"/>
            <w:vAlign w:val="center"/>
          </w:tcPr>
          <w:p>
            <w:pPr>
              <w:widowControl/>
              <w:jc w:val="left"/>
              <w:rPr>
                <w:rFonts w:ascii="宋体" w:hAnsi="宋体" w:cs="宋体"/>
                <w:color w:val="000000"/>
                <w:kern w:val="0"/>
                <w:szCs w:val="21"/>
              </w:rPr>
            </w:pPr>
          </w:p>
        </w:tc>
        <w:tc>
          <w:tcPr>
            <w:tcW w:w="548" w:type="dxa"/>
            <w:vMerge w:val="continue"/>
            <w:shd w:val="clear" w:color="auto" w:fill="auto"/>
            <w:vAlign w:val="center"/>
          </w:tcPr>
          <w:p>
            <w:pPr>
              <w:widowControl/>
              <w:jc w:val="left"/>
              <w:rPr>
                <w:rFonts w:ascii="宋体" w:hAnsi="宋体" w:cs="宋体"/>
                <w:color w:val="000000"/>
                <w:kern w:val="0"/>
                <w:szCs w:val="21"/>
              </w:rPr>
            </w:pPr>
          </w:p>
        </w:tc>
        <w:tc>
          <w:tcPr>
            <w:tcW w:w="1111" w:type="dxa"/>
            <w:vMerge w:val="continue"/>
            <w:shd w:val="clear" w:color="auto" w:fill="auto"/>
            <w:vAlign w:val="center"/>
          </w:tcPr>
          <w:p>
            <w:pPr>
              <w:widowControl/>
              <w:jc w:val="right"/>
              <w:rPr>
                <w:rFonts w:ascii="宋体" w:hAnsi="宋体" w:cs="宋体"/>
                <w:color w:val="000000"/>
                <w:kern w:val="0"/>
                <w:szCs w:val="21"/>
              </w:rPr>
            </w:pPr>
          </w:p>
        </w:tc>
        <w:tc>
          <w:tcPr>
            <w:tcW w:w="614" w:type="dxa"/>
            <w:vMerge w:val="continue"/>
            <w:shd w:val="clear" w:color="auto" w:fill="auto"/>
            <w:vAlign w:val="center"/>
          </w:tcPr>
          <w:p>
            <w:pPr>
              <w:widowControl/>
              <w:jc w:val="right"/>
              <w:rPr>
                <w:rFonts w:ascii="宋体" w:hAnsi="宋体" w:cs="宋体"/>
                <w:color w:val="000000"/>
                <w:kern w:val="0"/>
                <w:szCs w:val="21"/>
              </w:rPr>
            </w:pPr>
          </w:p>
        </w:tc>
        <w:tc>
          <w:tcPr>
            <w:tcW w:w="1011" w:type="dxa"/>
            <w:vMerge w:val="continue"/>
            <w:shd w:val="clear" w:color="auto" w:fill="auto"/>
            <w:vAlign w:val="center"/>
          </w:tcPr>
          <w:p>
            <w:pPr>
              <w:widowControl/>
              <w:jc w:val="right"/>
              <w:rPr>
                <w:rFonts w:ascii="宋体" w:hAnsi="宋体" w:cs="宋体"/>
                <w:color w:val="000000"/>
                <w:kern w:val="0"/>
                <w:szCs w:val="21"/>
              </w:rPr>
            </w:pPr>
          </w:p>
        </w:tc>
        <w:tc>
          <w:tcPr>
            <w:tcW w:w="1011" w:type="dxa"/>
            <w:vMerge w:val="continue"/>
            <w:shd w:val="clear" w:color="auto" w:fill="auto"/>
            <w:vAlign w:val="center"/>
          </w:tcPr>
          <w:p>
            <w:pPr>
              <w:widowControl/>
              <w:jc w:val="right"/>
              <w:rPr>
                <w:rFonts w:ascii="宋体" w:hAnsi="宋体" w:cs="宋体"/>
                <w:color w:val="000000"/>
                <w:kern w:val="0"/>
                <w:szCs w:val="21"/>
              </w:rPr>
            </w:pPr>
          </w:p>
        </w:tc>
        <w:tc>
          <w:tcPr>
            <w:tcW w:w="939" w:type="dxa"/>
            <w:vMerge w:val="continue"/>
            <w:shd w:val="clear" w:color="auto" w:fill="auto"/>
            <w:vAlign w:val="center"/>
          </w:tcPr>
          <w:p>
            <w:pPr>
              <w:widowControl/>
              <w:jc w:val="right"/>
              <w:rPr>
                <w:rFonts w:ascii="宋体" w:hAnsi="宋体" w:cs="宋体"/>
                <w:color w:val="000000"/>
                <w:kern w:val="0"/>
                <w:szCs w:val="21"/>
              </w:rPr>
            </w:pPr>
          </w:p>
        </w:tc>
        <w:tc>
          <w:tcPr>
            <w:tcW w:w="939" w:type="dxa"/>
            <w:vMerge w:val="continue"/>
            <w:shd w:val="clear" w:color="auto" w:fill="auto"/>
            <w:vAlign w:val="center"/>
          </w:tcPr>
          <w:p>
            <w:pPr>
              <w:widowControl/>
              <w:jc w:val="right"/>
              <w:rPr>
                <w:rFonts w:ascii="宋体" w:hAnsi="宋体" w:cs="宋体"/>
                <w:color w:val="000000"/>
                <w:kern w:val="0"/>
                <w:szCs w:val="21"/>
              </w:rPr>
            </w:pPr>
          </w:p>
        </w:tc>
        <w:tc>
          <w:tcPr>
            <w:tcW w:w="940"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51" w:type="dxa"/>
            <w:shd w:val="clear" w:color="auto" w:fill="auto"/>
            <w:vAlign w:val="center"/>
          </w:tcPr>
          <w:p>
            <w:pPr>
              <w:widowControl/>
              <w:jc w:val="left"/>
              <w:rPr>
                <w:rFonts w:ascii="宋体" w:hAnsi="宋体" w:cs="宋体"/>
                <w:color w:val="000000"/>
                <w:kern w:val="0"/>
                <w:szCs w:val="21"/>
              </w:rPr>
            </w:pPr>
          </w:p>
        </w:tc>
        <w:tc>
          <w:tcPr>
            <w:tcW w:w="1622" w:type="dxa"/>
            <w:shd w:val="clear" w:color="auto" w:fill="auto"/>
            <w:vAlign w:val="center"/>
          </w:tcPr>
          <w:p>
            <w:pPr>
              <w:widowControl/>
              <w:jc w:val="left"/>
              <w:rPr>
                <w:rFonts w:ascii="宋体" w:hAnsi="宋体" w:cs="宋体"/>
                <w:color w:val="000000"/>
                <w:kern w:val="0"/>
                <w:szCs w:val="21"/>
              </w:rPr>
            </w:pPr>
          </w:p>
        </w:tc>
        <w:tc>
          <w:tcPr>
            <w:tcW w:w="684" w:type="dxa"/>
            <w:shd w:val="clear" w:color="auto" w:fill="auto"/>
            <w:vAlign w:val="center"/>
          </w:tcPr>
          <w:p>
            <w:pPr>
              <w:widowControl/>
              <w:jc w:val="left"/>
              <w:rPr>
                <w:rFonts w:ascii="宋体" w:hAnsi="宋体" w:cs="宋体"/>
                <w:color w:val="000000"/>
                <w:kern w:val="0"/>
                <w:szCs w:val="21"/>
              </w:rPr>
            </w:pPr>
          </w:p>
        </w:tc>
        <w:tc>
          <w:tcPr>
            <w:tcW w:w="1310" w:type="dxa"/>
            <w:shd w:val="clear" w:color="auto" w:fill="auto"/>
            <w:vAlign w:val="center"/>
          </w:tcPr>
          <w:p>
            <w:pPr>
              <w:widowControl/>
              <w:jc w:val="left"/>
              <w:rPr>
                <w:rFonts w:ascii="宋体" w:hAnsi="宋体" w:cs="宋体"/>
                <w:color w:val="000000"/>
                <w:kern w:val="0"/>
                <w:szCs w:val="21"/>
              </w:rPr>
            </w:pPr>
          </w:p>
        </w:tc>
        <w:tc>
          <w:tcPr>
            <w:tcW w:w="1220" w:type="dxa"/>
            <w:shd w:val="clear" w:color="auto" w:fill="auto"/>
            <w:vAlign w:val="center"/>
          </w:tcPr>
          <w:p>
            <w:pPr>
              <w:widowControl/>
              <w:jc w:val="left"/>
              <w:rPr>
                <w:rFonts w:ascii="宋体" w:hAnsi="宋体" w:cs="宋体"/>
                <w:color w:val="000000"/>
                <w:kern w:val="0"/>
                <w:szCs w:val="21"/>
              </w:rPr>
            </w:pPr>
          </w:p>
        </w:tc>
        <w:tc>
          <w:tcPr>
            <w:tcW w:w="816" w:type="dxa"/>
            <w:shd w:val="clear" w:color="auto" w:fill="auto"/>
            <w:vAlign w:val="center"/>
          </w:tcPr>
          <w:p>
            <w:pPr>
              <w:widowControl/>
              <w:jc w:val="left"/>
              <w:rPr>
                <w:rFonts w:ascii="宋体" w:hAnsi="宋体" w:cs="宋体"/>
                <w:color w:val="000000"/>
                <w:kern w:val="0"/>
                <w:szCs w:val="21"/>
              </w:rPr>
            </w:pPr>
          </w:p>
        </w:tc>
        <w:tc>
          <w:tcPr>
            <w:tcW w:w="548" w:type="dxa"/>
            <w:shd w:val="clear" w:color="auto" w:fill="auto"/>
            <w:vAlign w:val="center"/>
          </w:tcPr>
          <w:p>
            <w:pPr>
              <w:widowControl/>
              <w:jc w:val="left"/>
              <w:rPr>
                <w:rFonts w:ascii="宋体" w:hAnsi="宋体" w:cs="宋体"/>
                <w:color w:val="000000"/>
                <w:kern w:val="0"/>
                <w:szCs w:val="21"/>
              </w:rPr>
            </w:pPr>
          </w:p>
        </w:tc>
        <w:tc>
          <w:tcPr>
            <w:tcW w:w="1111" w:type="dxa"/>
            <w:shd w:val="clear" w:color="auto" w:fill="auto"/>
            <w:vAlign w:val="center"/>
          </w:tcPr>
          <w:p>
            <w:pPr>
              <w:widowControl/>
              <w:jc w:val="right"/>
              <w:rPr>
                <w:rFonts w:ascii="宋体" w:hAnsi="宋体" w:cs="宋体"/>
                <w:color w:val="000000"/>
                <w:kern w:val="0"/>
                <w:szCs w:val="21"/>
              </w:rPr>
            </w:pPr>
          </w:p>
        </w:tc>
        <w:tc>
          <w:tcPr>
            <w:tcW w:w="614" w:type="dxa"/>
            <w:shd w:val="clear" w:color="auto" w:fill="auto"/>
            <w:vAlign w:val="center"/>
          </w:tcPr>
          <w:p>
            <w:pPr>
              <w:widowControl/>
              <w:jc w:val="right"/>
              <w:rPr>
                <w:rFonts w:ascii="宋体" w:hAnsi="宋体" w:cs="宋体"/>
                <w:color w:val="000000"/>
                <w:kern w:val="0"/>
                <w:szCs w:val="21"/>
              </w:rPr>
            </w:pP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18939.69</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18939.69</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笔记本电脑</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A02010105</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便携式计算机</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联想</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柜式空调</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A02052309</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专用制冷、空调设备</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3匹柜机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挂式空调</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A02052309</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专用制冷、空调设备</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1.5匹</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电视机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A02091001</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普通电视设备</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50寸以内</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A3打印机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激光打印机</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A3打印机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净水机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A02061807</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饮水器</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冷热两用净水机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碎纸机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A02021101</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碎纸机</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A4纸碎纸机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高拍仪</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A0201060901</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扫描仪</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A3纸张扫描仪</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摄像机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A02091102</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通用摄像机</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高清便携式</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照相机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A0202050101</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数字照相机</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便携式数码照相机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暗访隐藏式摄像机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A02091101</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录像机</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隐藏式摄像机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A4多功能一体机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彩色打印复印一体机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A4彩色一体机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个人防辐射剂量计</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A033413</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核子及核辐射测量仪器</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辐射个人报警仪</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更新防火墙</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A02010301</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防火墙</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2110104</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新环保法及相关法律宣传</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C200202</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电视服务</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1年</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物业费</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C1204</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物业管理服务</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1年物业服务</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大气污染防治</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C160301</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大气污染治理服务</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大气污染防治</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3780000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378.00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378.00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环境监察与监测</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C169999</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其他环境治理服务</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环境监察与监测</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水污染防治</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C160299</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其他水污染治理服务</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水污染防治</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31690000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3169.00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3169.00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水污染防治</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C160205</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水库污染治理服务</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水污染防治</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35000000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3500.00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3500.00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水污染防治</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C160205</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水库污染治理服务</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水污染防治</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100000000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10000.00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10000.00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土壤污染防治</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C169999</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其他环境治理服务</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土壤污染防治</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唐山市环境监控指挥中心</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A02052309</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专用制冷、空调设备</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柜机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唐山市环境监控指挥中心</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软件正版化操作系统</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A0201080101</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操作系统</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win7专业版</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28.50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28.50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唐山市环境监控指挥中心</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笔记本电脑</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A02010105</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便携式计算机</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专用笔记本电脑</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唐山市环境监控指挥中心</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彩色一体机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彩色打印复印一体机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唐山市环境监测中心站</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监测用药品、试剂、实验用品</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A032499</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其他环境污染防治设备</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国家标准</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w:t>
            </w:r>
            <w:r>
              <w:rPr>
                <w:rFonts w:ascii="宋体" w:hAnsi="宋体" w:cs="宋体"/>
                <w:color w:val="000000"/>
                <w:kern w:val="0"/>
                <w:szCs w:val="21"/>
              </w:rPr>
              <w:t>/吨</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65.00</w:t>
            </w:r>
          </w:p>
        </w:tc>
        <w:tc>
          <w:tcPr>
            <w:tcW w:w="10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65.00</w:t>
            </w:r>
          </w:p>
        </w:tc>
        <w:tc>
          <w:tcPr>
            <w:tcW w:w="939"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bl>
    <w:p>
      <w:pPr>
        <w:spacing w:line="20" w:lineRule="exact"/>
        <w:jc w:val="left"/>
      </w:pPr>
    </w:p>
    <w:p>
      <w:pPr>
        <w:jc w:val="left"/>
        <w:rPr>
          <w:rFonts w:ascii="仿宋" w:hAnsi="仿宋" w:eastAsia="仿宋"/>
          <w:color w:val="000000"/>
          <w:sz w:val="28"/>
        </w:rPr>
        <w:sectPr>
          <w:headerReference r:id="rId15" w:type="default"/>
          <w:pgSz w:w="16838" w:h="11906" w:orient="landscape"/>
          <w:pgMar w:top="1800" w:right="1440" w:bottom="1800" w:left="1440" w:header="851" w:footer="992" w:gutter="0"/>
          <w:cols w:space="425" w:num="1"/>
          <w:docGrid w:type="lines" w:linePitch="312" w:charSpace="0"/>
        </w:sectPr>
      </w:pPr>
    </w:p>
    <w:p>
      <w:pPr>
        <w:pStyle w:val="6"/>
      </w:pPr>
      <w:bookmarkStart w:id="9" w:name="_Toc355951230"/>
      <w:bookmarkStart w:id="10" w:name="_Toc476241463"/>
      <w:r>
        <w:rPr>
          <w:rFonts w:hint="eastAsia"/>
        </w:rPr>
        <w:t>部门组织政府非税收入预算明细表</w:t>
      </w:r>
      <w:bookmarkEnd w:id="9"/>
      <w:bookmarkEnd w:id="10"/>
      <w:r>
        <w:rPr>
          <w:rFonts w:hint="eastAsia"/>
          <w:sz w:val="24"/>
        </w:rPr>
        <w:t xml:space="preserve">   </w:t>
      </w:r>
    </w:p>
    <w:tbl>
      <w:tblPr>
        <w:tblStyle w:val="9"/>
        <w:tblW w:w="14538" w:type="dxa"/>
        <w:jc w:val="center"/>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
        <w:gridCol w:w="1425"/>
        <w:gridCol w:w="1275"/>
        <w:gridCol w:w="1701"/>
        <w:gridCol w:w="1136"/>
        <w:gridCol w:w="992"/>
        <w:gridCol w:w="1133"/>
        <w:gridCol w:w="1133"/>
        <w:gridCol w:w="216"/>
        <w:gridCol w:w="1061"/>
        <w:gridCol w:w="1176"/>
        <w:gridCol w:w="1061"/>
        <w:gridCol w:w="1061"/>
        <w:gridCol w:w="966"/>
        <w:gridCol w:w="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8" w:type="dxa"/>
          <w:cantSplit/>
          <w:trHeight w:val="630" w:hRule="atLeast"/>
          <w:tblHeader/>
          <w:jc w:val="center"/>
        </w:trPr>
        <w:tc>
          <w:tcPr>
            <w:tcW w:w="9011" w:type="dxa"/>
            <w:gridSpan w:val="8"/>
            <w:tcBorders>
              <w:top w:val="nil"/>
              <w:left w:val="nil"/>
              <w:bottom w:val="single" w:color="auto" w:sz="4" w:space="0"/>
              <w:right w:val="nil"/>
            </w:tcBorders>
            <w:shd w:val="clear" w:color="auto" w:fill="auto"/>
            <w:vAlign w:val="center"/>
          </w:tcPr>
          <w:p>
            <w:pPr>
              <w:widowControl/>
              <w:ind w:left="-38" w:leftChars="-18"/>
              <w:jc w:val="left"/>
              <w:rPr>
                <w:rFonts w:ascii="黑体" w:hAnsi="黑体" w:eastAsia="黑体" w:cs="宋体"/>
                <w:b/>
                <w:bCs/>
                <w:color w:val="000000"/>
                <w:kern w:val="0"/>
                <w:sz w:val="22"/>
              </w:rPr>
            </w:pPr>
            <w:r>
              <w:rPr>
                <w:rFonts w:ascii="宋体" w:hAnsi="宋体"/>
                <w:sz w:val="28"/>
              </w:rPr>
              <w:t>626唐山市环境保护局</w:t>
            </w:r>
          </w:p>
        </w:tc>
        <w:tc>
          <w:tcPr>
            <w:tcW w:w="5449" w:type="dxa"/>
            <w:gridSpan w:val="6"/>
            <w:tcBorders>
              <w:top w:val="nil"/>
              <w:left w:val="nil"/>
              <w:bottom w:val="single" w:color="auto" w:sz="4" w:space="0"/>
              <w:right w:val="nil"/>
            </w:tcBorders>
            <w:shd w:val="clear" w:color="auto" w:fill="auto"/>
            <w:vAlign w:val="center"/>
          </w:tcPr>
          <w:p>
            <w:pPr>
              <w:widowControl/>
              <w:jc w:val="right"/>
              <w:rPr>
                <w:rFonts w:ascii="黑体" w:hAnsi="黑体" w:eastAsia="黑体" w:cs="宋体"/>
                <w:b/>
                <w:bCs/>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4" w:type="dxa"/>
          <w:cantSplit/>
          <w:trHeight w:val="285" w:hRule="atLeast"/>
          <w:tblHeader/>
          <w:jc w:val="center"/>
        </w:trPr>
        <w:tc>
          <w:tcPr>
            <w:tcW w:w="1503"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275"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收入科目编码</w:t>
            </w:r>
          </w:p>
        </w:tc>
        <w:tc>
          <w:tcPr>
            <w:tcW w:w="1701"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收入项目名称</w:t>
            </w:r>
          </w:p>
        </w:tc>
        <w:tc>
          <w:tcPr>
            <w:tcW w:w="1136"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7833" w:type="dxa"/>
            <w:gridSpan w:val="8"/>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纳入一般公共财政预算管理的非税收入</w:t>
            </w:r>
          </w:p>
        </w:tc>
        <w:tc>
          <w:tcPr>
            <w:tcW w:w="966"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4" w:type="dxa"/>
          <w:cantSplit/>
          <w:trHeight w:val="465" w:hRule="atLeast"/>
          <w:tblHeader/>
          <w:jc w:val="center"/>
        </w:trPr>
        <w:tc>
          <w:tcPr>
            <w:tcW w:w="1503" w:type="dxa"/>
            <w:gridSpan w:val="2"/>
            <w:vMerge w:val="continue"/>
            <w:vAlign w:val="center"/>
          </w:tcPr>
          <w:p>
            <w:pPr>
              <w:widowControl/>
              <w:jc w:val="left"/>
              <w:rPr>
                <w:rFonts w:ascii="黑体" w:hAnsi="黑体" w:eastAsia="黑体" w:cs="宋体"/>
                <w:b/>
                <w:bCs/>
                <w:color w:val="000000"/>
                <w:kern w:val="0"/>
                <w:szCs w:val="21"/>
              </w:rPr>
            </w:pPr>
          </w:p>
        </w:tc>
        <w:tc>
          <w:tcPr>
            <w:tcW w:w="1275" w:type="dxa"/>
            <w:vMerge w:val="continue"/>
            <w:vAlign w:val="center"/>
          </w:tcPr>
          <w:p>
            <w:pPr>
              <w:widowControl/>
              <w:jc w:val="left"/>
              <w:rPr>
                <w:rFonts w:ascii="黑体" w:hAnsi="黑体" w:eastAsia="黑体" w:cs="宋体"/>
                <w:b/>
                <w:bCs/>
                <w:color w:val="000000"/>
                <w:kern w:val="0"/>
                <w:szCs w:val="21"/>
              </w:rPr>
            </w:pPr>
          </w:p>
        </w:tc>
        <w:tc>
          <w:tcPr>
            <w:tcW w:w="1701" w:type="dxa"/>
            <w:vMerge w:val="continue"/>
            <w:vAlign w:val="center"/>
          </w:tcPr>
          <w:p>
            <w:pPr>
              <w:widowControl/>
              <w:jc w:val="left"/>
              <w:rPr>
                <w:rFonts w:ascii="黑体" w:hAnsi="黑体" w:eastAsia="黑体" w:cs="宋体"/>
                <w:b/>
                <w:bCs/>
                <w:color w:val="000000"/>
                <w:kern w:val="0"/>
                <w:szCs w:val="21"/>
              </w:rPr>
            </w:pPr>
          </w:p>
        </w:tc>
        <w:tc>
          <w:tcPr>
            <w:tcW w:w="1136" w:type="dxa"/>
            <w:vMerge w:val="continue"/>
            <w:vAlign w:val="center"/>
          </w:tcPr>
          <w:p>
            <w:pPr>
              <w:widowControl/>
              <w:jc w:val="left"/>
              <w:rPr>
                <w:rFonts w:ascii="黑体" w:hAnsi="黑体" w:eastAsia="黑体" w:cs="宋体"/>
                <w:b/>
                <w:bCs/>
                <w:color w:val="000000"/>
                <w:kern w:val="0"/>
                <w:szCs w:val="21"/>
              </w:rPr>
            </w:pPr>
          </w:p>
        </w:tc>
        <w:tc>
          <w:tcPr>
            <w:tcW w:w="992"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小计</w:t>
            </w:r>
          </w:p>
        </w:tc>
        <w:tc>
          <w:tcPr>
            <w:tcW w:w="1133"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行政事业性收费</w:t>
            </w:r>
          </w:p>
        </w:tc>
        <w:tc>
          <w:tcPr>
            <w:tcW w:w="1133"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专项收入</w:t>
            </w:r>
          </w:p>
        </w:tc>
        <w:tc>
          <w:tcPr>
            <w:tcW w:w="1277"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国有资产（资源）有偿使用收入</w:t>
            </w:r>
          </w:p>
        </w:tc>
        <w:tc>
          <w:tcPr>
            <w:tcW w:w="1176"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国有资本经营收入</w:t>
            </w:r>
          </w:p>
        </w:tc>
        <w:tc>
          <w:tcPr>
            <w:tcW w:w="1061"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罚没收入</w:t>
            </w:r>
          </w:p>
        </w:tc>
        <w:tc>
          <w:tcPr>
            <w:tcW w:w="1061"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其他收入</w:t>
            </w:r>
          </w:p>
        </w:tc>
        <w:tc>
          <w:tcPr>
            <w:tcW w:w="966" w:type="dxa"/>
            <w:vMerge w:val="continue"/>
            <w:vAlign w:val="center"/>
          </w:tcPr>
          <w:p>
            <w:pPr>
              <w:widowControl/>
              <w:jc w:val="left"/>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4" w:type="dxa"/>
          <w:cantSplit/>
          <w:trHeight w:val="312" w:hRule="atLeast"/>
          <w:tblHeader/>
          <w:jc w:val="center"/>
        </w:trPr>
        <w:tc>
          <w:tcPr>
            <w:tcW w:w="1503" w:type="dxa"/>
            <w:gridSpan w:val="2"/>
            <w:vMerge w:val="continue"/>
            <w:vAlign w:val="center"/>
          </w:tcPr>
          <w:p>
            <w:pPr>
              <w:widowControl/>
              <w:jc w:val="left"/>
              <w:rPr>
                <w:rFonts w:ascii="黑体" w:hAnsi="黑体" w:eastAsia="黑体" w:cs="宋体"/>
                <w:b/>
                <w:bCs/>
                <w:color w:val="000000"/>
                <w:kern w:val="0"/>
                <w:szCs w:val="21"/>
              </w:rPr>
            </w:pPr>
          </w:p>
        </w:tc>
        <w:tc>
          <w:tcPr>
            <w:tcW w:w="1275" w:type="dxa"/>
            <w:vMerge w:val="continue"/>
            <w:vAlign w:val="center"/>
          </w:tcPr>
          <w:p>
            <w:pPr>
              <w:widowControl/>
              <w:jc w:val="left"/>
              <w:rPr>
                <w:rFonts w:ascii="黑体" w:hAnsi="黑体" w:eastAsia="黑体" w:cs="宋体"/>
                <w:b/>
                <w:bCs/>
                <w:color w:val="000000"/>
                <w:kern w:val="0"/>
                <w:szCs w:val="21"/>
              </w:rPr>
            </w:pPr>
          </w:p>
        </w:tc>
        <w:tc>
          <w:tcPr>
            <w:tcW w:w="1701" w:type="dxa"/>
            <w:vMerge w:val="continue"/>
            <w:vAlign w:val="center"/>
          </w:tcPr>
          <w:p>
            <w:pPr>
              <w:widowControl/>
              <w:jc w:val="left"/>
              <w:rPr>
                <w:rFonts w:ascii="黑体" w:hAnsi="黑体" w:eastAsia="黑体" w:cs="宋体"/>
                <w:b/>
                <w:bCs/>
                <w:color w:val="000000"/>
                <w:kern w:val="0"/>
                <w:szCs w:val="21"/>
              </w:rPr>
            </w:pPr>
          </w:p>
        </w:tc>
        <w:tc>
          <w:tcPr>
            <w:tcW w:w="1136" w:type="dxa"/>
            <w:vMerge w:val="continue"/>
            <w:vAlign w:val="center"/>
          </w:tcPr>
          <w:p>
            <w:pPr>
              <w:widowControl/>
              <w:jc w:val="left"/>
              <w:rPr>
                <w:rFonts w:ascii="黑体" w:hAnsi="黑体" w:eastAsia="黑体" w:cs="宋体"/>
                <w:b/>
                <w:bCs/>
                <w:color w:val="000000"/>
                <w:kern w:val="0"/>
                <w:szCs w:val="21"/>
              </w:rPr>
            </w:pPr>
          </w:p>
        </w:tc>
        <w:tc>
          <w:tcPr>
            <w:tcW w:w="992" w:type="dxa"/>
            <w:vMerge w:val="continue"/>
            <w:vAlign w:val="center"/>
          </w:tcPr>
          <w:p>
            <w:pPr>
              <w:widowControl/>
              <w:jc w:val="left"/>
              <w:rPr>
                <w:rFonts w:ascii="黑体" w:hAnsi="黑体" w:eastAsia="黑体" w:cs="宋体"/>
                <w:b/>
                <w:bCs/>
                <w:color w:val="000000"/>
                <w:kern w:val="0"/>
                <w:szCs w:val="21"/>
              </w:rPr>
            </w:pPr>
          </w:p>
        </w:tc>
        <w:tc>
          <w:tcPr>
            <w:tcW w:w="1133" w:type="dxa"/>
            <w:vMerge w:val="continue"/>
            <w:vAlign w:val="center"/>
          </w:tcPr>
          <w:p>
            <w:pPr>
              <w:widowControl/>
              <w:jc w:val="left"/>
              <w:rPr>
                <w:rFonts w:ascii="黑体" w:hAnsi="黑体" w:eastAsia="黑体" w:cs="宋体"/>
                <w:b/>
                <w:bCs/>
                <w:color w:val="000000"/>
                <w:kern w:val="0"/>
                <w:szCs w:val="21"/>
              </w:rPr>
            </w:pPr>
          </w:p>
        </w:tc>
        <w:tc>
          <w:tcPr>
            <w:tcW w:w="1133" w:type="dxa"/>
            <w:vMerge w:val="continue"/>
            <w:vAlign w:val="center"/>
          </w:tcPr>
          <w:p>
            <w:pPr>
              <w:widowControl/>
              <w:jc w:val="left"/>
              <w:rPr>
                <w:rFonts w:ascii="黑体" w:hAnsi="黑体" w:eastAsia="黑体" w:cs="宋体"/>
                <w:b/>
                <w:bCs/>
                <w:color w:val="000000"/>
                <w:kern w:val="0"/>
                <w:szCs w:val="21"/>
              </w:rPr>
            </w:pPr>
          </w:p>
        </w:tc>
        <w:tc>
          <w:tcPr>
            <w:tcW w:w="1277" w:type="dxa"/>
            <w:gridSpan w:val="2"/>
            <w:vMerge w:val="continue"/>
            <w:vAlign w:val="center"/>
          </w:tcPr>
          <w:p>
            <w:pPr>
              <w:widowControl/>
              <w:jc w:val="left"/>
              <w:rPr>
                <w:rFonts w:ascii="黑体" w:hAnsi="黑体" w:eastAsia="黑体" w:cs="宋体"/>
                <w:b/>
                <w:bCs/>
                <w:color w:val="000000"/>
                <w:kern w:val="0"/>
                <w:szCs w:val="21"/>
              </w:rPr>
            </w:pPr>
          </w:p>
        </w:tc>
        <w:tc>
          <w:tcPr>
            <w:tcW w:w="1176" w:type="dxa"/>
            <w:vMerge w:val="continue"/>
            <w:vAlign w:val="center"/>
          </w:tcPr>
          <w:p>
            <w:pPr>
              <w:widowControl/>
              <w:jc w:val="left"/>
              <w:rPr>
                <w:rFonts w:ascii="黑体" w:hAnsi="黑体" w:eastAsia="黑体" w:cs="宋体"/>
                <w:b/>
                <w:bCs/>
                <w:color w:val="000000"/>
                <w:kern w:val="0"/>
                <w:szCs w:val="21"/>
              </w:rPr>
            </w:pPr>
          </w:p>
        </w:tc>
        <w:tc>
          <w:tcPr>
            <w:tcW w:w="1061" w:type="dxa"/>
            <w:vMerge w:val="continue"/>
            <w:vAlign w:val="center"/>
          </w:tcPr>
          <w:p>
            <w:pPr>
              <w:widowControl/>
              <w:jc w:val="left"/>
              <w:rPr>
                <w:rFonts w:ascii="黑体" w:hAnsi="黑体" w:eastAsia="黑体" w:cs="宋体"/>
                <w:b/>
                <w:bCs/>
                <w:color w:val="000000"/>
                <w:kern w:val="0"/>
                <w:szCs w:val="21"/>
              </w:rPr>
            </w:pPr>
          </w:p>
        </w:tc>
        <w:tc>
          <w:tcPr>
            <w:tcW w:w="1061" w:type="dxa"/>
            <w:vMerge w:val="continue"/>
            <w:vAlign w:val="center"/>
          </w:tcPr>
          <w:p>
            <w:pPr>
              <w:widowControl/>
              <w:jc w:val="left"/>
              <w:rPr>
                <w:rFonts w:ascii="黑体" w:hAnsi="黑体" w:eastAsia="黑体" w:cs="宋体"/>
                <w:b/>
                <w:bCs/>
                <w:color w:val="000000"/>
                <w:kern w:val="0"/>
                <w:szCs w:val="21"/>
              </w:rPr>
            </w:pPr>
          </w:p>
        </w:tc>
        <w:tc>
          <w:tcPr>
            <w:tcW w:w="966" w:type="dxa"/>
            <w:vMerge w:val="continue"/>
            <w:vAlign w:val="center"/>
          </w:tcPr>
          <w:p>
            <w:pPr>
              <w:widowControl/>
              <w:jc w:val="left"/>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4" w:type="dxa"/>
          <w:cantSplit/>
          <w:trHeight w:val="312" w:hRule="atLeast"/>
          <w:tblHeader/>
          <w:jc w:val="center"/>
        </w:trPr>
        <w:tc>
          <w:tcPr>
            <w:tcW w:w="1503" w:type="dxa"/>
            <w:gridSpan w:val="2"/>
            <w:vMerge w:val="continue"/>
            <w:shd w:val="clear" w:color="auto" w:fill="auto"/>
            <w:vAlign w:val="center"/>
          </w:tcPr>
          <w:p>
            <w:pPr>
              <w:widowControl/>
              <w:jc w:val="left"/>
              <w:rPr>
                <w:rFonts w:ascii="宋体" w:hAnsi="宋体" w:cs="宋体"/>
                <w:color w:val="000000"/>
                <w:kern w:val="0"/>
                <w:szCs w:val="21"/>
              </w:rPr>
            </w:pPr>
          </w:p>
        </w:tc>
        <w:tc>
          <w:tcPr>
            <w:tcW w:w="1275" w:type="dxa"/>
            <w:vMerge w:val="continue"/>
            <w:shd w:val="clear" w:color="auto" w:fill="auto"/>
            <w:vAlign w:val="center"/>
          </w:tcPr>
          <w:p>
            <w:pPr>
              <w:widowControl/>
              <w:jc w:val="left"/>
              <w:rPr>
                <w:rFonts w:ascii="宋体" w:hAnsi="宋体" w:cs="宋体"/>
                <w:color w:val="000000"/>
                <w:kern w:val="0"/>
                <w:szCs w:val="21"/>
              </w:rPr>
            </w:pPr>
          </w:p>
        </w:tc>
        <w:tc>
          <w:tcPr>
            <w:tcW w:w="1701" w:type="dxa"/>
            <w:vMerge w:val="continue"/>
            <w:shd w:val="clear" w:color="auto" w:fill="auto"/>
            <w:vAlign w:val="center"/>
          </w:tcPr>
          <w:p>
            <w:pPr>
              <w:widowControl/>
              <w:jc w:val="left"/>
              <w:rPr>
                <w:rFonts w:ascii="宋体" w:hAnsi="宋体" w:cs="宋体"/>
                <w:color w:val="000000"/>
                <w:kern w:val="0"/>
                <w:szCs w:val="21"/>
              </w:rPr>
            </w:pPr>
          </w:p>
        </w:tc>
        <w:tc>
          <w:tcPr>
            <w:tcW w:w="1136" w:type="dxa"/>
            <w:vMerge w:val="continue"/>
            <w:shd w:val="clear" w:color="auto" w:fill="auto"/>
            <w:vAlign w:val="center"/>
          </w:tcPr>
          <w:p>
            <w:pPr>
              <w:widowControl/>
              <w:jc w:val="right"/>
              <w:rPr>
                <w:rFonts w:ascii="宋体" w:hAnsi="宋体" w:cs="宋体"/>
                <w:color w:val="000000"/>
                <w:kern w:val="0"/>
                <w:szCs w:val="21"/>
              </w:rPr>
            </w:pPr>
          </w:p>
        </w:tc>
        <w:tc>
          <w:tcPr>
            <w:tcW w:w="992" w:type="dxa"/>
            <w:vMerge w:val="continue"/>
            <w:shd w:val="clear" w:color="auto" w:fill="auto"/>
            <w:vAlign w:val="center"/>
          </w:tcPr>
          <w:p>
            <w:pPr>
              <w:widowControl/>
              <w:jc w:val="right"/>
              <w:rPr>
                <w:rFonts w:ascii="宋体" w:hAnsi="宋体" w:cs="宋体"/>
                <w:color w:val="000000"/>
                <w:kern w:val="0"/>
                <w:szCs w:val="21"/>
              </w:rPr>
            </w:pPr>
          </w:p>
        </w:tc>
        <w:tc>
          <w:tcPr>
            <w:tcW w:w="1133" w:type="dxa"/>
            <w:vMerge w:val="continue"/>
            <w:shd w:val="clear" w:color="auto" w:fill="auto"/>
            <w:vAlign w:val="center"/>
          </w:tcPr>
          <w:p>
            <w:pPr>
              <w:widowControl/>
              <w:jc w:val="right"/>
              <w:rPr>
                <w:rFonts w:ascii="宋体" w:hAnsi="宋体" w:cs="宋体"/>
                <w:color w:val="000000"/>
                <w:kern w:val="0"/>
                <w:szCs w:val="21"/>
              </w:rPr>
            </w:pPr>
          </w:p>
        </w:tc>
        <w:tc>
          <w:tcPr>
            <w:tcW w:w="1133" w:type="dxa"/>
            <w:vMerge w:val="continue"/>
            <w:shd w:val="clear" w:color="auto" w:fill="auto"/>
            <w:vAlign w:val="center"/>
          </w:tcPr>
          <w:p>
            <w:pPr>
              <w:widowControl/>
              <w:jc w:val="right"/>
              <w:rPr>
                <w:rFonts w:ascii="宋体" w:hAnsi="宋体" w:cs="宋体"/>
                <w:color w:val="000000"/>
                <w:kern w:val="0"/>
                <w:szCs w:val="21"/>
              </w:rPr>
            </w:pPr>
          </w:p>
        </w:tc>
        <w:tc>
          <w:tcPr>
            <w:tcW w:w="1277" w:type="dxa"/>
            <w:gridSpan w:val="2"/>
            <w:vMerge w:val="continue"/>
            <w:shd w:val="clear" w:color="auto" w:fill="auto"/>
            <w:vAlign w:val="center"/>
          </w:tcPr>
          <w:p>
            <w:pPr>
              <w:widowControl/>
              <w:jc w:val="right"/>
              <w:rPr>
                <w:rFonts w:ascii="宋体" w:hAnsi="宋体" w:cs="宋体"/>
                <w:color w:val="000000"/>
                <w:kern w:val="0"/>
                <w:szCs w:val="21"/>
              </w:rPr>
            </w:pPr>
          </w:p>
        </w:tc>
        <w:tc>
          <w:tcPr>
            <w:tcW w:w="1176" w:type="dxa"/>
            <w:vMerge w:val="continue"/>
            <w:shd w:val="clear" w:color="auto" w:fill="auto"/>
            <w:vAlign w:val="center"/>
          </w:tcPr>
          <w:p>
            <w:pPr>
              <w:widowControl/>
              <w:jc w:val="right"/>
              <w:rPr>
                <w:rFonts w:ascii="宋体" w:hAnsi="宋体" w:cs="宋体"/>
                <w:color w:val="000000"/>
                <w:kern w:val="0"/>
                <w:szCs w:val="21"/>
              </w:rPr>
            </w:pPr>
          </w:p>
        </w:tc>
        <w:tc>
          <w:tcPr>
            <w:tcW w:w="1061" w:type="dxa"/>
            <w:vMerge w:val="continue"/>
            <w:shd w:val="clear" w:color="auto" w:fill="auto"/>
            <w:vAlign w:val="center"/>
          </w:tcPr>
          <w:p>
            <w:pPr>
              <w:widowControl/>
              <w:jc w:val="right"/>
              <w:rPr>
                <w:rFonts w:ascii="宋体" w:hAnsi="宋体" w:cs="宋体"/>
                <w:color w:val="000000"/>
                <w:kern w:val="0"/>
                <w:szCs w:val="21"/>
              </w:rPr>
            </w:pPr>
          </w:p>
        </w:tc>
        <w:tc>
          <w:tcPr>
            <w:tcW w:w="1061" w:type="dxa"/>
            <w:vMerge w:val="continue"/>
            <w:shd w:val="clear" w:color="auto" w:fill="auto"/>
            <w:vAlign w:val="center"/>
          </w:tcPr>
          <w:p>
            <w:pPr>
              <w:widowControl/>
              <w:jc w:val="right"/>
              <w:rPr>
                <w:rFonts w:ascii="宋体" w:hAnsi="宋体" w:cs="宋体"/>
                <w:color w:val="000000"/>
                <w:kern w:val="0"/>
                <w:szCs w:val="21"/>
              </w:rPr>
            </w:pPr>
          </w:p>
        </w:tc>
        <w:tc>
          <w:tcPr>
            <w:tcW w:w="966"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4" w:type="dxa"/>
          <w:cantSplit/>
          <w:trHeight w:val="312" w:hRule="atLeast"/>
          <w:jc w:val="center"/>
        </w:trPr>
        <w:tc>
          <w:tcPr>
            <w:tcW w:w="150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1275"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103050199</w:t>
            </w:r>
          </w:p>
        </w:tc>
        <w:tc>
          <w:tcPr>
            <w:tcW w:w="17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其他一般罚没收入</w:t>
            </w:r>
          </w:p>
        </w:tc>
        <w:tc>
          <w:tcPr>
            <w:tcW w:w="113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5885.00</w:t>
            </w:r>
          </w:p>
        </w:tc>
        <w:tc>
          <w:tcPr>
            <w:tcW w:w="99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5885.00</w:t>
            </w:r>
          </w:p>
        </w:tc>
        <w:tc>
          <w:tcPr>
            <w:tcW w:w="1133" w:type="dxa"/>
            <w:shd w:val="clear" w:color="auto" w:fill="auto"/>
            <w:vAlign w:val="center"/>
          </w:tcPr>
          <w:p>
            <w:pPr>
              <w:widowControl/>
              <w:jc w:val="right"/>
              <w:rPr>
                <w:rFonts w:ascii="宋体" w:hAnsi="宋体" w:cs="宋体"/>
                <w:color w:val="000000"/>
                <w:kern w:val="0"/>
                <w:szCs w:val="21"/>
              </w:rPr>
            </w:pPr>
          </w:p>
        </w:tc>
        <w:tc>
          <w:tcPr>
            <w:tcW w:w="113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5235.00</w:t>
            </w:r>
          </w:p>
        </w:tc>
        <w:tc>
          <w:tcPr>
            <w:tcW w:w="1277" w:type="dxa"/>
            <w:gridSpan w:val="2"/>
            <w:shd w:val="clear" w:color="auto" w:fill="auto"/>
            <w:vAlign w:val="center"/>
          </w:tcPr>
          <w:p>
            <w:pPr>
              <w:widowControl/>
              <w:jc w:val="right"/>
              <w:rPr>
                <w:rFonts w:ascii="宋体" w:hAnsi="宋体" w:cs="宋体"/>
                <w:color w:val="000000"/>
                <w:kern w:val="0"/>
                <w:szCs w:val="21"/>
              </w:rPr>
            </w:pPr>
          </w:p>
        </w:tc>
        <w:tc>
          <w:tcPr>
            <w:tcW w:w="1176" w:type="dxa"/>
            <w:shd w:val="clear" w:color="auto" w:fill="auto"/>
            <w:vAlign w:val="center"/>
          </w:tcPr>
          <w:p>
            <w:pPr>
              <w:widowControl/>
              <w:jc w:val="right"/>
              <w:rPr>
                <w:rFonts w:ascii="宋体" w:hAnsi="宋体" w:cs="宋体"/>
                <w:color w:val="000000"/>
                <w:kern w:val="0"/>
                <w:szCs w:val="21"/>
              </w:rPr>
            </w:pPr>
          </w:p>
        </w:tc>
        <w:tc>
          <w:tcPr>
            <w:tcW w:w="106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650.00</w:t>
            </w:r>
          </w:p>
        </w:tc>
        <w:tc>
          <w:tcPr>
            <w:tcW w:w="1061" w:type="dxa"/>
            <w:shd w:val="clear" w:color="auto" w:fill="auto"/>
            <w:vAlign w:val="center"/>
          </w:tcPr>
          <w:p>
            <w:pPr>
              <w:widowControl/>
              <w:jc w:val="right"/>
              <w:rPr>
                <w:rFonts w:ascii="宋体" w:hAnsi="宋体" w:cs="宋体"/>
                <w:color w:val="000000"/>
                <w:kern w:val="0"/>
                <w:szCs w:val="21"/>
              </w:rPr>
            </w:pPr>
          </w:p>
        </w:tc>
        <w:tc>
          <w:tcPr>
            <w:tcW w:w="966"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4" w:type="dxa"/>
          <w:cantSplit/>
          <w:trHeight w:val="312" w:hRule="atLeast"/>
          <w:jc w:val="center"/>
        </w:trPr>
        <w:tc>
          <w:tcPr>
            <w:tcW w:w="150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唐山市环境监控指挥中心</w:t>
            </w:r>
          </w:p>
        </w:tc>
        <w:tc>
          <w:tcPr>
            <w:tcW w:w="1275"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103050199</w:t>
            </w:r>
          </w:p>
        </w:tc>
        <w:tc>
          <w:tcPr>
            <w:tcW w:w="17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其他一般罚没收入</w:t>
            </w:r>
          </w:p>
        </w:tc>
        <w:tc>
          <w:tcPr>
            <w:tcW w:w="113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99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1133" w:type="dxa"/>
            <w:shd w:val="clear" w:color="auto" w:fill="auto"/>
            <w:vAlign w:val="center"/>
          </w:tcPr>
          <w:p>
            <w:pPr>
              <w:widowControl/>
              <w:jc w:val="right"/>
              <w:rPr>
                <w:rFonts w:ascii="宋体" w:hAnsi="宋体" w:cs="宋体"/>
                <w:color w:val="000000"/>
                <w:kern w:val="0"/>
                <w:szCs w:val="21"/>
              </w:rPr>
            </w:pPr>
          </w:p>
        </w:tc>
        <w:tc>
          <w:tcPr>
            <w:tcW w:w="1133" w:type="dxa"/>
            <w:shd w:val="clear" w:color="auto" w:fill="auto"/>
            <w:vAlign w:val="center"/>
          </w:tcPr>
          <w:p>
            <w:pPr>
              <w:widowControl/>
              <w:jc w:val="right"/>
              <w:rPr>
                <w:rFonts w:ascii="宋体" w:hAnsi="宋体" w:cs="宋体"/>
                <w:color w:val="000000"/>
                <w:kern w:val="0"/>
                <w:szCs w:val="21"/>
              </w:rPr>
            </w:pPr>
          </w:p>
        </w:tc>
        <w:tc>
          <w:tcPr>
            <w:tcW w:w="1277" w:type="dxa"/>
            <w:gridSpan w:val="2"/>
            <w:shd w:val="clear" w:color="auto" w:fill="auto"/>
            <w:vAlign w:val="center"/>
          </w:tcPr>
          <w:p>
            <w:pPr>
              <w:widowControl/>
              <w:jc w:val="right"/>
              <w:rPr>
                <w:rFonts w:ascii="宋体" w:hAnsi="宋体" w:cs="宋体"/>
                <w:color w:val="000000"/>
                <w:kern w:val="0"/>
                <w:szCs w:val="21"/>
              </w:rPr>
            </w:pPr>
          </w:p>
        </w:tc>
        <w:tc>
          <w:tcPr>
            <w:tcW w:w="1176" w:type="dxa"/>
            <w:shd w:val="clear" w:color="auto" w:fill="auto"/>
            <w:vAlign w:val="center"/>
          </w:tcPr>
          <w:p>
            <w:pPr>
              <w:widowControl/>
              <w:jc w:val="right"/>
              <w:rPr>
                <w:rFonts w:ascii="宋体" w:hAnsi="宋体" w:cs="宋体"/>
                <w:color w:val="000000"/>
                <w:kern w:val="0"/>
                <w:szCs w:val="21"/>
              </w:rPr>
            </w:pPr>
          </w:p>
        </w:tc>
        <w:tc>
          <w:tcPr>
            <w:tcW w:w="106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1061" w:type="dxa"/>
            <w:shd w:val="clear" w:color="auto" w:fill="auto"/>
            <w:vAlign w:val="center"/>
          </w:tcPr>
          <w:p>
            <w:pPr>
              <w:widowControl/>
              <w:jc w:val="right"/>
              <w:rPr>
                <w:rFonts w:ascii="宋体" w:hAnsi="宋体" w:cs="宋体"/>
                <w:color w:val="000000"/>
                <w:kern w:val="0"/>
                <w:szCs w:val="21"/>
              </w:rPr>
            </w:pPr>
          </w:p>
        </w:tc>
        <w:tc>
          <w:tcPr>
            <w:tcW w:w="966"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4" w:type="dxa"/>
          <w:cantSplit/>
          <w:trHeight w:val="312" w:hRule="atLeast"/>
          <w:jc w:val="center"/>
        </w:trPr>
        <w:tc>
          <w:tcPr>
            <w:tcW w:w="150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唐山市环境监测中心站</w:t>
            </w:r>
          </w:p>
        </w:tc>
        <w:tc>
          <w:tcPr>
            <w:tcW w:w="1275"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103043505</w:t>
            </w:r>
          </w:p>
        </w:tc>
        <w:tc>
          <w:tcPr>
            <w:tcW w:w="17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环境监测服务费</w:t>
            </w:r>
          </w:p>
        </w:tc>
        <w:tc>
          <w:tcPr>
            <w:tcW w:w="113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400.00</w:t>
            </w:r>
          </w:p>
        </w:tc>
        <w:tc>
          <w:tcPr>
            <w:tcW w:w="99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400.00</w:t>
            </w:r>
          </w:p>
        </w:tc>
        <w:tc>
          <w:tcPr>
            <w:tcW w:w="113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400.00</w:t>
            </w:r>
          </w:p>
        </w:tc>
        <w:tc>
          <w:tcPr>
            <w:tcW w:w="1133" w:type="dxa"/>
            <w:shd w:val="clear" w:color="auto" w:fill="auto"/>
            <w:vAlign w:val="center"/>
          </w:tcPr>
          <w:p>
            <w:pPr>
              <w:widowControl/>
              <w:jc w:val="right"/>
              <w:rPr>
                <w:rFonts w:ascii="宋体" w:hAnsi="宋体" w:cs="宋体"/>
                <w:color w:val="000000"/>
                <w:kern w:val="0"/>
                <w:szCs w:val="21"/>
              </w:rPr>
            </w:pPr>
          </w:p>
        </w:tc>
        <w:tc>
          <w:tcPr>
            <w:tcW w:w="1277" w:type="dxa"/>
            <w:gridSpan w:val="2"/>
            <w:shd w:val="clear" w:color="auto" w:fill="auto"/>
            <w:vAlign w:val="center"/>
          </w:tcPr>
          <w:p>
            <w:pPr>
              <w:widowControl/>
              <w:jc w:val="right"/>
              <w:rPr>
                <w:rFonts w:ascii="宋体" w:hAnsi="宋体" w:cs="宋体"/>
                <w:color w:val="000000"/>
                <w:kern w:val="0"/>
                <w:szCs w:val="21"/>
              </w:rPr>
            </w:pPr>
          </w:p>
        </w:tc>
        <w:tc>
          <w:tcPr>
            <w:tcW w:w="1176" w:type="dxa"/>
            <w:shd w:val="clear" w:color="auto" w:fill="auto"/>
            <w:vAlign w:val="center"/>
          </w:tcPr>
          <w:p>
            <w:pPr>
              <w:widowControl/>
              <w:jc w:val="right"/>
              <w:rPr>
                <w:rFonts w:ascii="宋体" w:hAnsi="宋体" w:cs="宋体"/>
                <w:color w:val="000000"/>
                <w:kern w:val="0"/>
                <w:szCs w:val="21"/>
              </w:rPr>
            </w:pPr>
          </w:p>
        </w:tc>
        <w:tc>
          <w:tcPr>
            <w:tcW w:w="1061" w:type="dxa"/>
            <w:shd w:val="clear" w:color="auto" w:fill="auto"/>
            <w:vAlign w:val="center"/>
          </w:tcPr>
          <w:p>
            <w:pPr>
              <w:widowControl/>
              <w:jc w:val="right"/>
              <w:rPr>
                <w:rFonts w:ascii="宋体" w:hAnsi="宋体" w:cs="宋体"/>
                <w:color w:val="000000"/>
                <w:kern w:val="0"/>
                <w:szCs w:val="21"/>
              </w:rPr>
            </w:pPr>
          </w:p>
        </w:tc>
        <w:tc>
          <w:tcPr>
            <w:tcW w:w="1061" w:type="dxa"/>
            <w:shd w:val="clear" w:color="auto" w:fill="auto"/>
            <w:vAlign w:val="center"/>
          </w:tcPr>
          <w:p>
            <w:pPr>
              <w:widowControl/>
              <w:jc w:val="right"/>
              <w:rPr>
                <w:rFonts w:ascii="宋体" w:hAnsi="宋体" w:cs="宋体"/>
                <w:color w:val="000000"/>
                <w:kern w:val="0"/>
                <w:szCs w:val="21"/>
              </w:rPr>
            </w:pPr>
          </w:p>
        </w:tc>
        <w:tc>
          <w:tcPr>
            <w:tcW w:w="966"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4" w:type="dxa"/>
          <w:cantSplit/>
          <w:trHeight w:val="312" w:hRule="atLeast"/>
          <w:jc w:val="center"/>
        </w:trPr>
        <w:tc>
          <w:tcPr>
            <w:tcW w:w="150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唐山市环境工程评估中心</w:t>
            </w:r>
          </w:p>
        </w:tc>
        <w:tc>
          <w:tcPr>
            <w:tcW w:w="1275"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103050199</w:t>
            </w:r>
          </w:p>
        </w:tc>
        <w:tc>
          <w:tcPr>
            <w:tcW w:w="17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其他一般罚没收入</w:t>
            </w:r>
          </w:p>
        </w:tc>
        <w:tc>
          <w:tcPr>
            <w:tcW w:w="113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99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133" w:type="dxa"/>
            <w:shd w:val="clear" w:color="auto" w:fill="auto"/>
            <w:vAlign w:val="center"/>
          </w:tcPr>
          <w:p>
            <w:pPr>
              <w:widowControl/>
              <w:jc w:val="right"/>
              <w:rPr>
                <w:rFonts w:ascii="宋体" w:hAnsi="宋体" w:cs="宋体"/>
                <w:color w:val="000000"/>
                <w:kern w:val="0"/>
                <w:szCs w:val="21"/>
              </w:rPr>
            </w:pPr>
          </w:p>
        </w:tc>
        <w:tc>
          <w:tcPr>
            <w:tcW w:w="1133" w:type="dxa"/>
            <w:shd w:val="clear" w:color="auto" w:fill="auto"/>
            <w:vAlign w:val="center"/>
          </w:tcPr>
          <w:p>
            <w:pPr>
              <w:widowControl/>
              <w:jc w:val="right"/>
              <w:rPr>
                <w:rFonts w:ascii="宋体" w:hAnsi="宋体" w:cs="宋体"/>
                <w:color w:val="000000"/>
                <w:kern w:val="0"/>
                <w:szCs w:val="21"/>
              </w:rPr>
            </w:pPr>
          </w:p>
        </w:tc>
        <w:tc>
          <w:tcPr>
            <w:tcW w:w="1277" w:type="dxa"/>
            <w:gridSpan w:val="2"/>
            <w:shd w:val="clear" w:color="auto" w:fill="auto"/>
            <w:vAlign w:val="center"/>
          </w:tcPr>
          <w:p>
            <w:pPr>
              <w:widowControl/>
              <w:jc w:val="right"/>
              <w:rPr>
                <w:rFonts w:ascii="宋体" w:hAnsi="宋体" w:cs="宋体"/>
                <w:color w:val="000000"/>
                <w:kern w:val="0"/>
                <w:szCs w:val="21"/>
              </w:rPr>
            </w:pPr>
          </w:p>
        </w:tc>
        <w:tc>
          <w:tcPr>
            <w:tcW w:w="1176" w:type="dxa"/>
            <w:shd w:val="clear" w:color="auto" w:fill="auto"/>
            <w:vAlign w:val="center"/>
          </w:tcPr>
          <w:p>
            <w:pPr>
              <w:widowControl/>
              <w:jc w:val="right"/>
              <w:rPr>
                <w:rFonts w:ascii="宋体" w:hAnsi="宋体" w:cs="宋体"/>
                <w:color w:val="000000"/>
                <w:kern w:val="0"/>
                <w:szCs w:val="21"/>
              </w:rPr>
            </w:pPr>
          </w:p>
        </w:tc>
        <w:tc>
          <w:tcPr>
            <w:tcW w:w="106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061" w:type="dxa"/>
            <w:shd w:val="clear" w:color="auto" w:fill="auto"/>
            <w:vAlign w:val="center"/>
          </w:tcPr>
          <w:p>
            <w:pPr>
              <w:widowControl/>
              <w:jc w:val="right"/>
              <w:rPr>
                <w:rFonts w:ascii="宋体" w:hAnsi="宋体" w:cs="宋体"/>
                <w:color w:val="000000"/>
                <w:kern w:val="0"/>
                <w:szCs w:val="21"/>
              </w:rPr>
            </w:pPr>
          </w:p>
        </w:tc>
        <w:tc>
          <w:tcPr>
            <w:tcW w:w="966"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4" w:type="dxa"/>
          <w:cantSplit/>
          <w:trHeight w:val="312" w:hRule="atLeast"/>
          <w:jc w:val="center"/>
        </w:trPr>
        <w:tc>
          <w:tcPr>
            <w:tcW w:w="150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唐山市环境执法监察支队</w:t>
            </w:r>
          </w:p>
        </w:tc>
        <w:tc>
          <w:tcPr>
            <w:tcW w:w="1275"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103050199</w:t>
            </w:r>
          </w:p>
        </w:tc>
        <w:tc>
          <w:tcPr>
            <w:tcW w:w="17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其他一般罚没收入</w:t>
            </w:r>
          </w:p>
        </w:tc>
        <w:tc>
          <w:tcPr>
            <w:tcW w:w="113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99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133" w:type="dxa"/>
            <w:shd w:val="clear" w:color="auto" w:fill="auto"/>
            <w:vAlign w:val="center"/>
          </w:tcPr>
          <w:p>
            <w:pPr>
              <w:widowControl/>
              <w:jc w:val="right"/>
              <w:rPr>
                <w:rFonts w:ascii="宋体" w:hAnsi="宋体" w:cs="宋体"/>
                <w:color w:val="000000"/>
                <w:kern w:val="0"/>
                <w:szCs w:val="21"/>
              </w:rPr>
            </w:pPr>
          </w:p>
        </w:tc>
        <w:tc>
          <w:tcPr>
            <w:tcW w:w="1133" w:type="dxa"/>
            <w:shd w:val="clear" w:color="auto" w:fill="auto"/>
            <w:vAlign w:val="center"/>
          </w:tcPr>
          <w:p>
            <w:pPr>
              <w:widowControl/>
              <w:jc w:val="right"/>
              <w:rPr>
                <w:rFonts w:ascii="宋体" w:hAnsi="宋体" w:cs="宋体"/>
                <w:color w:val="000000"/>
                <w:kern w:val="0"/>
                <w:szCs w:val="21"/>
              </w:rPr>
            </w:pPr>
          </w:p>
        </w:tc>
        <w:tc>
          <w:tcPr>
            <w:tcW w:w="1277" w:type="dxa"/>
            <w:gridSpan w:val="2"/>
            <w:shd w:val="clear" w:color="auto" w:fill="auto"/>
            <w:vAlign w:val="center"/>
          </w:tcPr>
          <w:p>
            <w:pPr>
              <w:widowControl/>
              <w:jc w:val="right"/>
              <w:rPr>
                <w:rFonts w:ascii="宋体" w:hAnsi="宋体" w:cs="宋体"/>
                <w:color w:val="000000"/>
                <w:kern w:val="0"/>
                <w:szCs w:val="21"/>
              </w:rPr>
            </w:pPr>
          </w:p>
        </w:tc>
        <w:tc>
          <w:tcPr>
            <w:tcW w:w="1176" w:type="dxa"/>
            <w:shd w:val="clear" w:color="auto" w:fill="auto"/>
            <w:vAlign w:val="center"/>
          </w:tcPr>
          <w:p>
            <w:pPr>
              <w:widowControl/>
              <w:jc w:val="right"/>
              <w:rPr>
                <w:rFonts w:ascii="宋体" w:hAnsi="宋体" w:cs="宋体"/>
                <w:color w:val="000000"/>
                <w:kern w:val="0"/>
                <w:szCs w:val="21"/>
              </w:rPr>
            </w:pPr>
          </w:p>
        </w:tc>
        <w:tc>
          <w:tcPr>
            <w:tcW w:w="106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061" w:type="dxa"/>
            <w:shd w:val="clear" w:color="auto" w:fill="auto"/>
            <w:vAlign w:val="center"/>
          </w:tcPr>
          <w:p>
            <w:pPr>
              <w:widowControl/>
              <w:jc w:val="right"/>
              <w:rPr>
                <w:rFonts w:ascii="宋体" w:hAnsi="宋体" w:cs="宋体"/>
                <w:color w:val="000000"/>
                <w:kern w:val="0"/>
                <w:szCs w:val="21"/>
              </w:rPr>
            </w:pPr>
          </w:p>
        </w:tc>
        <w:tc>
          <w:tcPr>
            <w:tcW w:w="966"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4" w:type="dxa"/>
          <w:cantSplit/>
          <w:trHeight w:val="312" w:hRule="atLeast"/>
          <w:jc w:val="center"/>
        </w:trPr>
        <w:tc>
          <w:tcPr>
            <w:tcW w:w="150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275" w:type="dxa"/>
            <w:shd w:val="clear" w:color="auto" w:fill="auto"/>
            <w:vAlign w:val="center"/>
          </w:tcPr>
          <w:p>
            <w:pPr>
              <w:widowControl/>
              <w:jc w:val="left"/>
              <w:rPr>
                <w:rFonts w:ascii="宋体" w:hAnsi="宋体" w:cs="宋体"/>
                <w:color w:val="000000"/>
                <w:kern w:val="0"/>
                <w:szCs w:val="21"/>
              </w:rPr>
            </w:pPr>
          </w:p>
        </w:tc>
        <w:tc>
          <w:tcPr>
            <w:tcW w:w="1701" w:type="dxa"/>
            <w:shd w:val="clear" w:color="auto" w:fill="auto"/>
            <w:vAlign w:val="center"/>
          </w:tcPr>
          <w:p>
            <w:pPr>
              <w:widowControl/>
              <w:jc w:val="left"/>
              <w:rPr>
                <w:rFonts w:ascii="宋体" w:hAnsi="宋体" w:cs="宋体"/>
                <w:color w:val="000000"/>
                <w:kern w:val="0"/>
                <w:szCs w:val="21"/>
              </w:rPr>
            </w:pPr>
          </w:p>
        </w:tc>
        <w:tc>
          <w:tcPr>
            <w:tcW w:w="113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6405.00</w:t>
            </w:r>
          </w:p>
        </w:tc>
        <w:tc>
          <w:tcPr>
            <w:tcW w:w="99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6405.00</w:t>
            </w:r>
          </w:p>
        </w:tc>
        <w:tc>
          <w:tcPr>
            <w:tcW w:w="113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400.00</w:t>
            </w:r>
          </w:p>
        </w:tc>
        <w:tc>
          <w:tcPr>
            <w:tcW w:w="113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5235.00</w:t>
            </w:r>
          </w:p>
        </w:tc>
        <w:tc>
          <w:tcPr>
            <w:tcW w:w="1277" w:type="dxa"/>
            <w:gridSpan w:val="2"/>
            <w:shd w:val="clear" w:color="auto" w:fill="auto"/>
            <w:vAlign w:val="center"/>
          </w:tcPr>
          <w:p>
            <w:pPr>
              <w:widowControl/>
              <w:jc w:val="right"/>
              <w:rPr>
                <w:rFonts w:ascii="宋体" w:hAnsi="宋体" w:cs="宋体"/>
                <w:color w:val="000000"/>
                <w:kern w:val="0"/>
                <w:szCs w:val="21"/>
              </w:rPr>
            </w:pPr>
          </w:p>
        </w:tc>
        <w:tc>
          <w:tcPr>
            <w:tcW w:w="1176" w:type="dxa"/>
            <w:shd w:val="clear" w:color="auto" w:fill="auto"/>
            <w:vAlign w:val="center"/>
          </w:tcPr>
          <w:p>
            <w:pPr>
              <w:widowControl/>
              <w:jc w:val="right"/>
              <w:rPr>
                <w:rFonts w:ascii="宋体" w:hAnsi="宋体" w:cs="宋体"/>
                <w:color w:val="000000"/>
                <w:kern w:val="0"/>
                <w:szCs w:val="21"/>
              </w:rPr>
            </w:pPr>
          </w:p>
        </w:tc>
        <w:tc>
          <w:tcPr>
            <w:tcW w:w="106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770.00</w:t>
            </w:r>
          </w:p>
        </w:tc>
        <w:tc>
          <w:tcPr>
            <w:tcW w:w="1061" w:type="dxa"/>
            <w:shd w:val="clear" w:color="auto" w:fill="auto"/>
            <w:vAlign w:val="center"/>
          </w:tcPr>
          <w:p>
            <w:pPr>
              <w:widowControl/>
              <w:jc w:val="right"/>
              <w:rPr>
                <w:rFonts w:ascii="宋体" w:hAnsi="宋体" w:cs="宋体"/>
                <w:color w:val="000000"/>
                <w:kern w:val="0"/>
                <w:szCs w:val="21"/>
              </w:rPr>
            </w:pPr>
          </w:p>
        </w:tc>
        <w:tc>
          <w:tcPr>
            <w:tcW w:w="966" w:type="dxa"/>
            <w:shd w:val="clear" w:color="auto" w:fill="auto"/>
            <w:vAlign w:val="center"/>
          </w:tcPr>
          <w:p>
            <w:pPr>
              <w:widowControl/>
              <w:jc w:val="right"/>
              <w:rPr>
                <w:rFonts w:ascii="宋体" w:hAnsi="宋体" w:cs="宋体"/>
                <w:color w:val="000000"/>
                <w:kern w:val="0"/>
                <w:szCs w:val="21"/>
              </w:rPr>
            </w:pPr>
          </w:p>
        </w:tc>
      </w:tr>
    </w:tbl>
    <w:p/>
    <w:p>
      <w:pPr>
        <w:jc w:val="left"/>
        <w:rPr>
          <w:rFonts w:ascii="仿宋" w:hAnsi="仿宋" w:eastAsia="仿宋"/>
          <w:color w:val="000000"/>
          <w:sz w:val="28"/>
        </w:rPr>
        <w:sectPr>
          <w:headerReference r:id="rId16" w:type="default"/>
          <w:pgSz w:w="16838" w:h="11906" w:orient="landscape"/>
          <w:pgMar w:top="1800" w:right="1440" w:bottom="1800" w:left="1440" w:header="851" w:footer="992" w:gutter="0"/>
          <w:cols w:space="425" w:num="1"/>
          <w:docGrid w:type="lines" w:linePitch="312" w:charSpace="0"/>
        </w:sectPr>
      </w:pPr>
    </w:p>
    <w:p>
      <w:pPr>
        <w:pStyle w:val="6"/>
        <w:rPr>
          <w:sz w:val="28"/>
        </w:rPr>
      </w:pPr>
      <w:bookmarkStart w:id="11" w:name="_Toc476241464"/>
      <w:bookmarkStart w:id="12" w:name="_Toc383873143"/>
      <w:r>
        <w:rPr>
          <w:rFonts w:hint="eastAsia"/>
        </w:rPr>
        <w:t>部门基本情况</w:t>
      </w:r>
      <w:bookmarkEnd w:id="11"/>
      <w:bookmarkEnd w:id="12"/>
      <w:r>
        <w:rPr>
          <w:rFonts w:hint="eastAsia"/>
          <w:sz w:val="28"/>
        </w:rPr>
        <w:t xml:space="preserve">  </w:t>
      </w:r>
    </w:p>
    <w:tbl>
      <w:tblPr>
        <w:tblStyle w:val="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135"/>
        <w:gridCol w:w="1134"/>
        <w:gridCol w:w="1843"/>
        <w:gridCol w:w="850"/>
        <w:gridCol w:w="850"/>
        <w:gridCol w:w="850"/>
        <w:gridCol w:w="850"/>
        <w:gridCol w:w="769"/>
        <w:gridCol w:w="81"/>
        <w:gridCol w:w="995"/>
        <w:gridCol w:w="853"/>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11508" w:type="dxa"/>
            <w:gridSpan w:val="9"/>
            <w:tcBorders>
              <w:top w:val="nil"/>
              <w:left w:val="nil"/>
              <w:right w:val="nil"/>
            </w:tcBorders>
            <w:shd w:val="clear" w:color="auto" w:fill="auto"/>
            <w:vAlign w:val="center"/>
          </w:tcPr>
          <w:p>
            <w:pPr>
              <w:widowControl/>
              <w:jc w:val="left"/>
              <w:rPr>
                <w:rFonts w:ascii="黑体" w:hAnsi="黑体" w:eastAsia="黑体" w:cs="宋体"/>
                <w:b/>
                <w:bCs/>
                <w:color w:val="000000"/>
                <w:kern w:val="0"/>
                <w:sz w:val="22"/>
              </w:rPr>
            </w:pPr>
            <w:r>
              <w:rPr>
                <w:rFonts w:ascii="宋体" w:hAnsi="宋体"/>
                <w:sz w:val="28"/>
              </w:rPr>
              <w:t>626唐山市环境保护局</w:t>
            </w:r>
          </w:p>
        </w:tc>
        <w:tc>
          <w:tcPr>
            <w:tcW w:w="2666" w:type="dxa"/>
            <w:gridSpan w:val="4"/>
            <w:tcBorders>
              <w:top w:val="nil"/>
              <w:left w:val="nil"/>
              <w:right w:val="nil"/>
            </w:tcBorders>
            <w:shd w:val="clear" w:color="auto" w:fill="auto"/>
            <w:vAlign w:val="center"/>
          </w:tcPr>
          <w:p>
            <w:pPr>
              <w:widowControl/>
              <w:jc w:val="right"/>
              <w:rPr>
                <w:rFonts w:ascii="黑体" w:hAnsi="黑体" w:eastAsia="黑体" w:cs="宋体"/>
                <w:b/>
                <w:bCs/>
                <w:color w:val="000000"/>
                <w:kern w:val="0"/>
                <w:sz w:val="22"/>
              </w:rPr>
            </w:pPr>
            <w:r>
              <w:rPr>
                <w:rFonts w:ascii="宋体" w:hAnsi="宋体"/>
                <w:sz w:val="24"/>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blHeader/>
          <w:jc w:val="center"/>
        </w:trPr>
        <w:tc>
          <w:tcPr>
            <w:tcW w:w="3227"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135"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单位性质</w:t>
            </w:r>
          </w:p>
        </w:tc>
        <w:tc>
          <w:tcPr>
            <w:tcW w:w="1134"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单位规格</w:t>
            </w:r>
          </w:p>
        </w:tc>
        <w:tc>
          <w:tcPr>
            <w:tcW w:w="1843"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经费保障形式</w:t>
            </w:r>
          </w:p>
        </w:tc>
        <w:tc>
          <w:tcPr>
            <w:tcW w:w="850"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车辆编制数</w:t>
            </w:r>
          </w:p>
        </w:tc>
        <w:tc>
          <w:tcPr>
            <w:tcW w:w="1700" w:type="dxa"/>
            <w:gridSpan w:val="2"/>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编制人数</w:t>
            </w:r>
          </w:p>
        </w:tc>
        <w:tc>
          <w:tcPr>
            <w:tcW w:w="1700" w:type="dxa"/>
            <w:gridSpan w:val="3"/>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编制内实有人数</w:t>
            </w:r>
          </w:p>
        </w:tc>
        <w:tc>
          <w:tcPr>
            <w:tcW w:w="995"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编制外实有人数</w:t>
            </w:r>
          </w:p>
        </w:tc>
        <w:tc>
          <w:tcPr>
            <w:tcW w:w="1590" w:type="dxa"/>
            <w:gridSpan w:val="2"/>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离退人数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850"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离休</w:t>
            </w:r>
          </w:p>
        </w:tc>
        <w:tc>
          <w:tcPr>
            <w:tcW w:w="737"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gridSpan w:val="2"/>
            <w:vMerge w:val="continue"/>
            <w:vAlign w:val="center"/>
          </w:tcPr>
          <w:p>
            <w:pPr>
              <w:widowControl/>
              <w:jc w:val="center"/>
              <w:rPr>
                <w:rFonts w:ascii="黑体" w:hAnsi="黑体" w:eastAsia="黑体" w:cs="宋体"/>
                <w:b/>
                <w:bCs/>
                <w:color w:val="000000"/>
                <w:kern w:val="0"/>
                <w:szCs w:val="21"/>
              </w:rPr>
            </w:pP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continue"/>
            <w:vAlign w:val="center"/>
          </w:tcPr>
          <w:p>
            <w:pPr>
              <w:widowControl/>
              <w:jc w:val="center"/>
              <w:rPr>
                <w:rFonts w:ascii="黑体" w:hAnsi="黑体" w:eastAsia="黑体" w:cs="宋体"/>
                <w:b/>
                <w:bCs/>
                <w:color w:val="000000"/>
                <w:kern w:val="0"/>
                <w:szCs w:val="21"/>
              </w:rPr>
            </w:pPr>
          </w:p>
        </w:tc>
        <w:tc>
          <w:tcPr>
            <w:tcW w:w="737"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3227" w:type="dxa"/>
            <w:vMerge w:val="continue"/>
            <w:shd w:val="clear" w:color="auto" w:fill="auto"/>
            <w:vAlign w:val="center"/>
          </w:tcPr>
          <w:p>
            <w:pPr>
              <w:widowControl/>
              <w:rPr>
                <w:rFonts w:ascii="宋体" w:hAnsi="宋体" w:cs="宋体"/>
                <w:color w:val="000000"/>
                <w:kern w:val="0"/>
                <w:szCs w:val="21"/>
              </w:rPr>
            </w:pPr>
          </w:p>
        </w:tc>
        <w:tc>
          <w:tcPr>
            <w:tcW w:w="1135" w:type="dxa"/>
            <w:vMerge w:val="continue"/>
            <w:shd w:val="clear" w:color="auto" w:fill="auto"/>
            <w:vAlign w:val="center"/>
          </w:tcPr>
          <w:p>
            <w:pPr>
              <w:widowControl/>
              <w:rPr>
                <w:rFonts w:ascii="宋体" w:hAnsi="宋体" w:cs="宋体"/>
                <w:color w:val="000000"/>
                <w:kern w:val="0"/>
                <w:szCs w:val="21"/>
              </w:rPr>
            </w:pPr>
          </w:p>
        </w:tc>
        <w:tc>
          <w:tcPr>
            <w:tcW w:w="1134" w:type="dxa"/>
            <w:vMerge w:val="continue"/>
            <w:shd w:val="clear" w:color="auto" w:fill="auto"/>
            <w:vAlign w:val="center"/>
          </w:tcPr>
          <w:p>
            <w:pPr>
              <w:widowControl/>
              <w:rPr>
                <w:rFonts w:ascii="宋体" w:hAnsi="宋体" w:cs="宋体"/>
                <w:color w:val="000000"/>
                <w:kern w:val="0"/>
                <w:szCs w:val="21"/>
              </w:rPr>
            </w:pPr>
          </w:p>
        </w:tc>
        <w:tc>
          <w:tcPr>
            <w:tcW w:w="1843" w:type="dxa"/>
            <w:vMerge w:val="continue"/>
            <w:shd w:val="clear" w:color="auto" w:fill="auto"/>
            <w:vAlign w:val="center"/>
          </w:tcPr>
          <w:p>
            <w:pPr>
              <w:widowControl/>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gridSpan w:val="2"/>
            <w:vMerge w:val="continue"/>
            <w:shd w:val="clear" w:color="auto" w:fill="auto"/>
            <w:vAlign w:val="center"/>
          </w:tcPr>
          <w:p>
            <w:pPr>
              <w:widowControl/>
              <w:jc w:val="right"/>
              <w:rPr>
                <w:rFonts w:ascii="宋体" w:hAnsi="宋体" w:cs="宋体"/>
                <w:color w:val="000000"/>
                <w:kern w:val="0"/>
                <w:szCs w:val="21"/>
              </w:rPr>
            </w:pPr>
          </w:p>
        </w:tc>
        <w:tc>
          <w:tcPr>
            <w:tcW w:w="995" w:type="dxa"/>
            <w:vMerge w:val="continue"/>
            <w:shd w:val="clear" w:color="auto" w:fill="auto"/>
            <w:vAlign w:val="center"/>
          </w:tcPr>
          <w:p>
            <w:pPr>
              <w:widowControl/>
              <w:jc w:val="right"/>
              <w:rPr>
                <w:rFonts w:ascii="宋体" w:hAnsi="宋体" w:cs="宋体"/>
                <w:color w:val="000000"/>
                <w:kern w:val="0"/>
                <w:szCs w:val="21"/>
              </w:rPr>
            </w:pPr>
          </w:p>
        </w:tc>
        <w:tc>
          <w:tcPr>
            <w:tcW w:w="853" w:type="dxa"/>
            <w:vMerge w:val="continue"/>
            <w:shd w:val="clear" w:color="auto" w:fill="auto"/>
            <w:vAlign w:val="center"/>
          </w:tcPr>
          <w:p>
            <w:pPr>
              <w:widowControl/>
              <w:jc w:val="right"/>
              <w:rPr>
                <w:rFonts w:ascii="宋体" w:hAnsi="宋体" w:cs="宋体"/>
                <w:color w:val="000000"/>
                <w:kern w:val="0"/>
                <w:szCs w:val="21"/>
              </w:rPr>
            </w:pPr>
          </w:p>
        </w:tc>
        <w:tc>
          <w:tcPr>
            <w:tcW w:w="737"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行政机关</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正处级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财政拨款</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w:t>
            </w:r>
          </w:p>
        </w:tc>
        <w:tc>
          <w:tcPr>
            <w:tcW w:w="850" w:type="dxa"/>
            <w:gridSpan w:val="2"/>
            <w:shd w:val="clear" w:color="auto" w:fill="auto"/>
            <w:vAlign w:val="center"/>
          </w:tcPr>
          <w:p>
            <w:pPr>
              <w:widowControl/>
              <w:jc w:val="right"/>
              <w:rPr>
                <w:rFonts w:ascii="宋体" w:hAnsi="宋体" w:cs="宋体"/>
                <w:color w:val="000000"/>
                <w:kern w:val="0"/>
                <w:szCs w:val="21"/>
              </w:rPr>
            </w:pP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唐山市环境监控指挥中心</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参公单位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w:t>
            </w:r>
          </w:p>
        </w:tc>
        <w:tc>
          <w:tcPr>
            <w:tcW w:w="850" w:type="dxa"/>
            <w:gridSpan w:val="2"/>
            <w:shd w:val="clear" w:color="auto" w:fill="auto"/>
            <w:vAlign w:val="center"/>
          </w:tcPr>
          <w:p>
            <w:pPr>
              <w:widowControl/>
              <w:jc w:val="right"/>
              <w:rPr>
                <w:rFonts w:ascii="宋体" w:hAnsi="宋体" w:cs="宋体"/>
                <w:color w:val="000000"/>
                <w:kern w:val="0"/>
                <w:szCs w:val="21"/>
              </w:rPr>
            </w:pP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唐山市环境监测中心站</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74</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w:t>
            </w:r>
          </w:p>
        </w:tc>
        <w:tc>
          <w:tcPr>
            <w:tcW w:w="9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w:t>
            </w: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唐山市环境工程评估中心</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唐山市环境执法监察支队</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参公单位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w:t>
            </w:r>
          </w:p>
        </w:tc>
        <w:tc>
          <w:tcPr>
            <w:tcW w:w="850" w:type="dxa"/>
            <w:gridSpan w:val="2"/>
            <w:shd w:val="clear" w:color="auto" w:fill="auto"/>
            <w:vAlign w:val="center"/>
          </w:tcPr>
          <w:p>
            <w:pPr>
              <w:widowControl/>
              <w:jc w:val="right"/>
              <w:rPr>
                <w:rFonts w:ascii="宋体" w:hAnsi="宋体" w:cs="宋体"/>
                <w:color w:val="000000"/>
                <w:kern w:val="0"/>
                <w:szCs w:val="21"/>
              </w:rPr>
            </w:pP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唐山市环境保护局路南区分局</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参公单位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w:t>
            </w:r>
          </w:p>
        </w:tc>
        <w:tc>
          <w:tcPr>
            <w:tcW w:w="850" w:type="dxa"/>
            <w:gridSpan w:val="2"/>
            <w:shd w:val="clear" w:color="auto" w:fill="auto"/>
            <w:vAlign w:val="center"/>
          </w:tcPr>
          <w:p>
            <w:pPr>
              <w:widowControl/>
              <w:jc w:val="right"/>
              <w:rPr>
                <w:rFonts w:ascii="宋体" w:hAnsi="宋体" w:cs="宋体"/>
                <w:color w:val="000000"/>
                <w:kern w:val="0"/>
                <w:szCs w:val="21"/>
              </w:rPr>
            </w:pP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唐山市环境保护局路北区分局</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参公单位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w:t>
            </w:r>
          </w:p>
        </w:tc>
        <w:tc>
          <w:tcPr>
            <w:tcW w:w="850" w:type="dxa"/>
            <w:gridSpan w:val="2"/>
            <w:shd w:val="clear" w:color="auto" w:fill="auto"/>
            <w:vAlign w:val="center"/>
          </w:tcPr>
          <w:p>
            <w:pPr>
              <w:widowControl/>
              <w:jc w:val="right"/>
              <w:rPr>
                <w:rFonts w:ascii="宋体" w:hAnsi="宋体" w:cs="宋体"/>
                <w:color w:val="000000"/>
                <w:kern w:val="0"/>
                <w:szCs w:val="21"/>
              </w:rPr>
            </w:pP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唐山市环境保护局古冶区分局</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参公单位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w:t>
            </w:r>
          </w:p>
        </w:tc>
        <w:tc>
          <w:tcPr>
            <w:tcW w:w="850" w:type="dxa"/>
            <w:gridSpan w:val="2"/>
            <w:shd w:val="clear" w:color="auto" w:fill="auto"/>
            <w:vAlign w:val="center"/>
          </w:tcPr>
          <w:p>
            <w:pPr>
              <w:widowControl/>
              <w:jc w:val="right"/>
              <w:rPr>
                <w:rFonts w:ascii="宋体" w:hAnsi="宋体" w:cs="宋体"/>
                <w:color w:val="000000"/>
                <w:kern w:val="0"/>
                <w:szCs w:val="21"/>
              </w:rPr>
            </w:pP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唐山市古冶区环境监测站</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正股级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唐山市环境保护局开平区分局</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参公单位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w:t>
            </w:r>
          </w:p>
        </w:tc>
        <w:tc>
          <w:tcPr>
            <w:tcW w:w="850" w:type="dxa"/>
            <w:gridSpan w:val="2"/>
            <w:shd w:val="clear" w:color="auto" w:fill="auto"/>
            <w:vAlign w:val="center"/>
          </w:tcPr>
          <w:p>
            <w:pPr>
              <w:widowControl/>
              <w:jc w:val="right"/>
              <w:rPr>
                <w:rFonts w:ascii="宋体" w:hAnsi="宋体" w:cs="宋体"/>
                <w:color w:val="000000"/>
                <w:kern w:val="0"/>
                <w:szCs w:val="21"/>
              </w:rPr>
            </w:pP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唐山市环境保护局丰润分局</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参公单位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w:t>
            </w:r>
          </w:p>
        </w:tc>
        <w:tc>
          <w:tcPr>
            <w:tcW w:w="850" w:type="dxa"/>
            <w:gridSpan w:val="2"/>
            <w:shd w:val="clear" w:color="auto" w:fill="auto"/>
            <w:vAlign w:val="center"/>
          </w:tcPr>
          <w:p>
            <w:pPr>
              <w:widowControl/>
              <w:jc w:val="right"/>
              <w:rPr>
                <w:rFonts w:ascii="宋体" w:hAnsi="宋体" w:cs="宋体"/>
                <w:color w:val="000000"/>
                <w:kern w:val="0"/>
                <w:szCs w:val="21"/>
              </w:rPr>
            </w:pP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唐山市环境保护局丰润分局环境监测站</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正股级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shd w:val="clear" w:color="auto" w:fill="auto"/>
            <w:vAlign w:val="center"/>
          </w:tcPr>
          <w:p>
            <w:pPr>
              <w:widowControl/>
              <w:rPr>
                <w:rFonts w:ascii="宋体" w:hAnsi="宋体" w:cs="宋体"/>
                <w:color w:val="000000"/>
                <w:kern w:val="0"/>
                <w:szCs w:val="21"/>
              </w:rPr>
            </w:pPr>
          </w:p>
        </w:tc>
        <w:tc>
          <w:tcPr>
            <w:tcW w:w="1134"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213</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97</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204</w:t>
            </w: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95</w:t>
            </w:r>
          </w:p>
        </w:tc>
        <w:tc>
          <w:tcPr>
            <w:tcW w:w="9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w:t>
            </w:r>
          </w:p>
        </w:tc>
        <w:tc>
          <w:tcPr>
            <w:tcW w:w="85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143</w:t>
            </w:r>
          </w:p>
        </w:tc>
      </w:tr>
    </w:tbl>
    <w:p/>
    <w:p>
      <w:pPr>
        <w:jc w:val="left"/>
        <w:rPr>
          <w:rFonts w:ascii="仿宋" w:hAnsi="仿宋" w:eastAsia="仿宋"/>
          <w:color w:val="000000"/>
          <w:sz w:val="28"/>
        </w:rPr>
        <w:sectPr>
          <w:headerReference r:id="rId17" w:type="default"/>
          <w:pgSz w:w="16838" w:h="11906" w:orient="landscape"/>
          <w:pgMar w:top="1800" w:right="1440" w:bottom="1800" w:left="1440" w:header="851" w:footer="992" w:gutter="0"/>
          <w:cols w:space="425" w:num="1"/>
          <w:docGrid w:type="lines" w:linePitch="312" w:charSpace="0"/>
        </w:sectPr>
      </w:pPr>
    </w:p>
    <w:p>
      <w:pPr>
        <w:pStyle w:val="6"/>
      </w:pPr>
      <w:bookmarkStart w:id="13" w:name="_Toc476241465"/>
      <w:r>
        <w:rPr>
          <w:rFonts w:hint="eastAsia"/>
        </w:rPr>
        <w:t>部门专项公用经费项目支出一览表</w:t>
      </w:r>
      <w:bookmarkEnd w:id="13"/>
      <w:r>
        <w:rPr>
          <w:rFonts w:hint="eastAsia"/>
        </w:rPr>
        <w:t xml:space="preserve">                        </w:t>
      </w:r>
      <w:r>
        <w:rPr>
          <w:sz w:val="24"/>
        </w:rPr>
        <w:t xml:space="preserve">      </w:t>
      </w:r>
    </w:p>
    <w:tbl>
      <w:tblPr>
        <w:tblStyle w:val="9"/>
        <w:tblW w:w="14192" w:type="dxa"/>
        <w:jc w:val="center"/>
        <w:tblInd w:w="-18" w:type="dxa"/>
        <w:tblLayout w:type="fixed"/>
        <w:tblCellMar>
          <w:top w:w="0" w:type="dxa"/>
          <w:left w:w="108" w:type="dxa"/>
          <w:bottom w:w="0" w:type="dxa"/>
          <w:right w:w="108" w:type="dxa"/>
        </w:tblCellMar>
      </w:tblPr>
      <w:tblGrid>
        <w:gridCol w:w="18"/>
        <w:gridCol w:w="2802"/>
        <w:gridCol w:w="4536"/>
        <w:gridCol w:w="1417"/>
        <w:gridCol w:w="1304"/>
        <w:gridCol w:w="113"/>
        <w:gridCol w:w="1417"/>
        <w:gridCol w:w="1281"/>
        <w:gridCol w:w="1304"/>
      </w:tblGrid>
      <w:tr>
        <w:tblPrEx>
          <w:tblLayout w:type="fixed"/>
          <w:tblCellMar>
            <w:top w:w="0" w:type="dxa"/>
            <w:left w:w="108" w:type="dxa"/>
            <w:bottom w:w="0" w:type="dxa"/>
            <w:right w:w="108" w:type="dxa"/>
          </w:tblCellMar>
        </w:tblPrEx>
        <w:trPr>
          <w:cantSplit/>
          <w:trHeight w:val="270" w:hRule="atLeast"/>
          <w:tblHeader/>
          <w:jc w:val="center"/>
        </w:trPr>
        <w:tc>
          <w:tcPr>
            <w:tcW w:w="10077" w:type="dxa"/>
            <w:gridSpan w:val="5"/>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626唐山市环境保护局</w:t>
            </w:r>
            <w:r>
              <w:rPr>
                <w:rFonts w:hint="eastAsia" w:ascii="宋体" w:hAnsi="宋体" w:cs="宋体"/>
                <w:color w:val="000000"/>
                <w:kern w:val="0"/>
                <w:sz w:val="22"/>
              </w:rPr>
              <w:t>　</w:t>
            </w:r>
          </w:p>
        </w:tc>
        <w:tc>
          <w:tcPr>
            <w:tcW w:w="4115"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270" w:hRule="atLeast"/>
          <w:tblHeader/>
          <w:jc w:val="center"/>
        </w:trPr>
        <w:tc>
          <w:tcPr>
            <w:tcW w:w="2802"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45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6836" w:type="dxa"/>
            <w:gridSpan w:val="6"/>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bCs/>
                <w:color w:val="000000"/>
                <w:kern w:val="0"/>
                <w:szCs w:val="21"/>
              </w:rPr>
            </w:pPr>
          </w:p>
        </w:tc>
        <w:tc>
          <w:tcPr>
            <w:tcW w:w="4536" w:type="dxa"/>
            <w:vMerge w:val="continue"/>
            <w:vAlign w:val="center"/>
          </w:tcPr>
          <w:p>
            <w:pPr>
              <w:widowControl/>
              <w:jc w:val="center"/>
              <w:rPr>
                <w:rFonts w:ascii="黑体" w:hAnsi="黑体" w:eastAsia="黑体" w:cs="宋体"/>
                <w:b/>
                <w:bCs/>
                <w:color w:val="000000"/>
                <w:kern w:val="0"/>
                <w:szCs w:val="21"/>
              </w:rPr>
            </w:pPr>
          </w:p>
        </w:tc>
        <w:tc>
          <w:tcPr>
            <w:tcW w:w="1417"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合计</w:t>
            </w:r>
          </w:p>
        </w:tc>
        <w:tc>
          <w:tcPr>
            <w:tcW w:w="1417"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一般公共预算拨款安排</w:t>
            </w:r>
          </w:p>
        </w:tc>
        <w:tc>
          <w:tcPr>
            <w:tcW w:w="1417"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政府性基金预算拨款安排</w:t>
            </w:r>
          </w:p>
        </w:tc>
        <w:tc>
          <w:tcPr>
            <w:tcW w:w="1281"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国有资本经营预算拨款安排</w:t>
            </w:r>
          </w:p>
        </w:tc>
        <w:tc>
          <w:tcPr>
            <w:tcW w:w="1304"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bCs/>
                <w:color w:val="000000"/>
                <w:kern w:val="0"/>
                <w:szCs w:val="21"/>
              </w:rPr>
            </w:pPr>
          </w:p>
        </w:tc>
        <w:tc>
          <w:tcPr>
            <w:tcW w:w="4536" w:type="dxa"/>
            <w:vMerge w:val="continue"/>
            <w:vAlign w:val="center"/>
          </w:tcPr>
          <w:p>
            <w:pPr>
              <w:widowControl/>
              <w:jc w:val="center"/>
              <w:rPr>
                <w:rFonts w:ascii="黑体" w:hAnsi="黑体" w:eastAsia="黑体" w:cs="宋体"/>
                <w:b/>
                <w:bCs/>
                <w:color w:val="000000"/>
                <w:kern w:val="0"/>
                <w:szCs w:val="21"/>
              </w:rPr>
            </w:pPr>
          </w:p>
        </w:tc>
        <w:tc>
          <w:tcPr>
            <w:tcW w:w="1417" w:type="dxa"/>
            <w:vMerge w:val="continue"/>
            <w:vAlign w:val="center"/>
          </w:tcPr>
          <w:p>
            <w:pPr>
              <w:widowControl/>
              <w:jc w:val="center"/>
              <w:rPr>
                <w:rFonts w:ascii="黑体" w:hAnsi="黑体" w:eastAsia="黑体" w:cs="宋体"/>
                <w:b/>
                <w:bCs/>
                <w:color w:val="000000"/>
                <w:kern w:val="0"/>
                <w:szCs w:val="21"/>
              </w:rPr>
            </w:pPr>
          </w:p>
        </w:tc>
        <w:tc>
          <w:tcPr>
            <w:tcW w:w="1417" w:type="dxa"/>
            <w:gridSpan w:val="2"/>
            <w:vMerge w:val="continue"/>
            <w:vAlign w:val="center"/>
          </w:tcPr>
          <w:p>
            <w:pPr>
              <w:widowControl/>
              <w:jc w:val="center"/>
              <w:rPr>
                <w:rFonts w:ascii="黑体" w:hAnsi="黑体" w:eastAsia="黑体" w:cs="宋体"/>
                <w:b/>
                <w:bCs/>
                <w:color w:val="000000"/>
                <w:kern w:val="0"/>
                <w:szCs w:val="21"/>
              </w:rPr>
            </w:pPr>
          </w:p>
        </w:tc>
        <w:tc>
          <w:tcPr>
            <w:tcW w:w="1417" w:type="dxa"/>
            <w:vMerge w:val="continue"/>
            <w:vAlign w:val="center"/>
          </w:tcPr>
          <w:p>
            <w:pPr>
              <w:widowControl/>
              <w:jc w:val="center"/>
              <w:rPr>
                <w:rFonts w:ascii="黑体" w:hAnsi="黑体" w:eastAsia="黑体" w:cs="宋体"/>
                <w:b/>
                <w:bCs/>
                <w:color w:val="000000"/>
                <w:kern w:val="0"/>
                <w:szCs w:val="21"/>
              </w:rPr>
            </w:pPr>
          </w:p>
        </w:tc>
        <w:tc>
          <w:tcPr>
            <w:tcW w:w="1281" w:type="dxa"/>
            <w:vMerge w:val="continue"/>
            <w:vAlign w:val="center"/>
          </w:tcPr>
          <w:p>
            <w:pPr>
              <w:widowControl/>
              <w:jc w:val="center"/>
              <w:rPr>
                <w:rFonts w:ascii="黑体" w:hAnsi="黑体" w:eastAsia="黑体" w:cs="宋体"/>
                <w:b/>
                <w:bCs/>
                <w:color w:val="000000"/>
                <w:kern w:val="0"/>
                <w:szCs w:val="21"/>
              </w:rPr>
            </w:pPr>
          </w:p>
        </w:tc>
        <w:tc>
          <w:tcPr>
            <w:tcW w:w="1304"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shd w:val="clear" w:color="auto" w:fill="auto"/>
            <w:vAlign w:val="center"/>
          </w:tcPr>
          <w:p>
            <w:pPr>
              <w:widowControl/>
              <w:rPr>
                <w:rFonts w:ascii="宋体" w:hAnsi="宋体" w:cs="宋体"/>
                <w:color w:val="000000"/>
                <w:kern w:val="0"/>
                <w:szCs w:val="21"/>
              </w:rPr>
            </w:pPr>
          </w:p>
        </w:tc>
        <w:tc>
          <w:tcPr>
            <w:tcW w:w="4536" w:type="dxa"/>
            <w:vMerge w:val="continue"/>
            <w:shd w:val="clear" w:color="auto" w:fill="auto"/>
            <w:vAlign w:val="center"/>
          </w:tcPr>
          <w:p>
            <w:pPr>
              <w:widowControl/>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281" w:type="dxa"/>
            <w:vMerge w:val="continue"/>
            <w:shd w:val="clear" w:color="auto" w:fill="auto"/>
            <w:vAlign w:val="center"/>
          </w:tcPr>
          <w:p>
            <w:pPr>
              <w:widowControl/>
              <w:jc w:val="right"/>
              <w:rPr>
                <w:rFonts w:ascii="宋体" w:hAnsi="宋体" w:cs="宋体"/>
                <w:color w:val="000000"/>
                <w:kern w:val="0"/>
                <w:szCs w:val="21"/>
              </w:rPr>
            </w:pPr>
          </w:p>
        </w:tc>
        <w:tc>
          <w:tcPr>
            <w:tcW w:w="1304"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笔记本电脑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柜式空调</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挂式空调</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电视机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A3打印机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净水机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碎纸机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高拍仪</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摄像机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照相机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暗访隐藏式摄像机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多功能一体机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彩色打印复印一体机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个人防辐射剂量计</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更新防火墙</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办公主楼更换窗户</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3.12</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3.12</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卫生间地面防水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1.32</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1.32</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更换卫生间门</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0.38</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0.38</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更换铁艺护栏</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1.04</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1.04</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院墙修缮</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办公楼内外墙粉刷</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办公楼副楼吊顶</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赴日研修</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局机关培训</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新环保法及相关法律宣传</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资料室报刊杂志订阅</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法律服务费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环境宣传教育</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印制环境状况公报</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审批大厅许可证印刷费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印刷唐山市水污染防治工作手册</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专项调研报告数及档案印刷</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物业费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省以上专项资金评审费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矿山深度治理验收经费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后勤保障临时人员工资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污染举报奖</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环境保护行政许可保障经费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其他环境保护管理事务保障经费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核辐射与安全监督</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环境保护监督、检查专项经费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“生态环境建设面对面”引入社会监督机构参与监督工作</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机动车尾气监测设备车运行维护费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补充环保研究所经费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唐山市环境监控指挥中心</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空调</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唐山市环境监控指挥中心</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软件正版化操作系统</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28.50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28.50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唐山市环境监控指挥中心</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笔记本电脑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唐山市环境监控指挥中心</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彩色一体机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唐山市环境监控指挥中心</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互联网光纤费用</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9.84</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9.84</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唐山市环境监控指挥中心</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网上审批系统、网站日常运行及安全维护</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唐山市环境监测中心站</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监测用药品、试剂、实验用品</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唐山市环境监测中心站</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检测专用材料消耗</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唐山市环境监测中心站</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检测专项业务费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唐山市环境监测中心站</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重金属污染防治资金采购项目质保金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11.24</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11.24</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唐山市环境监测中心站</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车载设备维护</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2.45</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2.45</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唐山市环境监测中心站</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陡河水源地监测系统维护费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唐山市环境监测中心站</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专用仪器维修保养及检定费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唐山市环境监测中心站</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出国培训费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2.14</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2.14</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唐山市环境监测中心站</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专家咨询费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唐山市环境监测中心站</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监测采样费用</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唐山市环境监测中心站</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保安、保</w:t>
            </w:r>
            <w:r>
              <w:rPr>
                <w:rFonts w:ascii="宋体" w:hAnsi="宋体" w:cs="宋体"/>
                <w:color w:val="000000"/>
                <w:kern w:val="0"/>
                <w:szCs w:val="21"/>
              </w:rPr>
              <w:t xml:space="preserve"> 洁、办公 楼物业维护</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10.68</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10.68</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唐山市环境工程评估中心</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环境评估经费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唐山市环境执法监察支队</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行车记录仪</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唐山市环境执法监察支队</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电动打孔器</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唐山市环境执法监察支队</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车载</w:t>
            </w:r>
            <w:r>
              <w:rPr>
                <w:rFonts w:ascii="宋体" w:hAnsi="宋体" w:cs="宋体"/>
                <w:color w:val="000000"/>
                <w:kern w:val="0"/>
                <w:szCs w:val="21"/>
              </w:rPr>
              <w:t>GPS卫星定位仪</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0.48</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0.48</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唐山市环境执法监察支队</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手持</w:t>
            </w:r>
            <w:r>
              <w:rPr>
                <w:rFonts w:ascii="宋体" w:hAnsi="宋体" w:cs="宋体"/>
                <w:color w:val="000000"/>
                <w:kern w:val="0"/>
                <w:szCs w:val="21"/>
              </w:rPr>
              <w:t>GPS定位仪</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唐山市环境执法监察支队</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执法监察业务培训费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唐山市环境执法监察支队</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环境监察执法文书专项印刷</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唐山市环境执法监察支队</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环境监察专项行动及日常监管</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唐山市环境执法监察支队</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全市应急处理</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唐山市环境执法监察支队</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征收排污费保障工作</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 xml:space="preserve"> 合计</w:t>
            </w:r>
          </w:p>
        </w:tc>
        <w:tc>
          <w:tcPr>
            <w:tcW w:w="4536" w:type="dxa"/>
            <w:shd w:val="clear" w:color="auto" w:fill="auto"/>
            <w:vAlign w:val="center"/>
          </w:tcPr>
          <w:p>
            <w:pPr>
              <w:widowControl/>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934.54</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934.54</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bl>
    <w:p>
      <w:pPr>
        <w:spacing w:line="0" w:lineRule="atLeast"/>
      </w:pPr>
    </w:p>
    <w:p>
      <w:pPr>
        <w:jc w:val="left"/>
        <w:rPr>
          <w:rFonts w:ascii="仿宋" w:hAnsi="仿宋" w:eastAsia="仿宋"/>
          <w:color w:val="000000"/>
          <w:sz w:val="28"/>
        </w:rPr>
        <w:sectPr>
          <w:headerReference r:id="rId18" w:type="default"/>
          <w:pgSz w:w="16838" w:h="11906" w:orient="landscape"/>
          <w:pgMar w:top="1800" w:right="1440" w:bottom="1800" w:left="1440" w:header="851" w:footer="992" w:gutter="0"/>
          <w:cols w:space="425" w:num="1"/>
          <w:docGrid w:type="lines" w:linePitch="312" w:charSpace="0"/>
        </w:sectPr>
      </w:pPr>
    </w:p>
    <w:p>
      <w:pPr>
        <w:pStyle w:val="6"/>
      </w:pPr>
      <w:bookmarkStart w:id="14" w:name="_Toc476241466"/>
      <w:r>
        <w:rPr>
          <w:rFonts w:hint="eastAsia"/>
        </w:rPr>
        <w:t>部门专项项目支出一览表</w:t>
      </w:r>
      <w:bookmarkEnd w:id="14"/>
      <w:r>
        <w:rPr>
          <w:rFonts w:hint="eastAsia"/>
        </w:rPr>
        <w:t xml:space="preserve">                        </w:t>
      </w:r>
      <w:r>
        <w:rPr>
          <w:sz w:val="24"/>
        </w:rPr>
        <w:t xml:space="preserve">      </w:t>
      </w:r>
    </w:p>
    <w:tbl>
      <w:tblPr>
        <w:tblStyle w:val="9"/>
        <w:tblW w:w="14192" w:type="dxa"/>
        <w:jc w:val="center"/>
        <w:tblInd w:w="-18" w:type="dxa"/>
        <w:tblLayout w:type="fixed"/>
        <w:tblCellMar>
          <w:top w:w="0" w:type="dxa"/>
          <w:left w:w="108" w:type="dxa"/>
          <w:bottom w:w="0" w:type="dxa"/>
          <w:right w:w="108" w:type="dxa"/>
        </w:tblCellMar>
      </w:tblPr>
      <w:tblGrid>
        <w:gridCol w:w="18"/>
        <w:gridCol w:w="2802"/>
        <w:gridCol w:w="4536"/>
        <w:gridCol w:w="1417"/>
        <w:gridCol w:w="1304"/>
        <w:gridCol w:w="113"/>
        <w:gridCol w:w="1417"/>
        <w:gridCol w:w="1281"/>
        <w:gridCol w:w="1304"/>
      </w:tblGrid>
      <w:tr>
        <w:tblPrEx>
          <w:tblLayout w:type="fixed"/>
          <w:tblCellMar>
            <w:top w:w="0" w:type="dxa"/>
            <w:left w:w="108" w:type="dxa"/>
            <w:bottom w:w="0" w:type="dxa"/>
            <w:right w:w="108" w:type="dxa"/>
          </w:tblCellMar>
        </w:tblPrEx>
        <w:trPr>
          <w:cantSplit/>
          <w:trHeight w:val="270" w:hRule="atLeast"/>
          <w:tblHeader/>
          <w:jc w:val="center"/>
        </w:trPr>
        <w:tc>
          <w:tcPr>
            <w:tcW w:w="10077" w:type="dxa"/>
            <w:gridSpan w:val="5"/>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626唐山市环境保护局</w:t>
            </w:r>
            <w:r>
              <w:rPr>
                <w:rFonts w:hint="eastAsia" w:ascii="宋体" w:hAnsi="宋体" w:cs="宋体"/>
                <w:color w:val="000000"/>
                <w:kern w:val="0"/>
                <w:sz w:val="22"/>
              </w:rPr>
              <w:t>　</w:t>
            </w:r>
          </w:p>
        </w:tc>
        <w:tc>
          <w:tcPr>
            <w:tcW w:w="4115"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270" w:hRule="atLeast"/>
          <w:tblHeader/>
          <w:jc w:val="center"/>
        </w:trPr>
        <w:tc>
          <w:tcPr>
            <w:tcW w:w="2802"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45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6836" w:type="dxa"/>
            <w:gridSpan w:val="6"/>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bCs/>
                <w:color w:val="000000"/>
                <w:kern w:val="0"/>
                <w:szCs w:val="21"/>
              </w:rPr>
            </w:pPr>
          </w:p>
        </w:tc>
        <w:tc>
          <w:tcPr>
            <w:tcW w:w="4536" w:type="dxa"/>
            <w:vMerge w:val="continue"/>
            <w:vAlign w:val="center"/>
          </w:tcPr>
          <w:p>
            <w:pPr>
              <w:widowControl/>
              <w:jc w:val="center"/>
              <w:rPr>
                <w:rFonts w:ascii="黑体" w:hAnsi="黑体" w:eastAsia="黑体" w:cs="宋体"/>
                <w:b/>
                <w:bCs/>
                <w:color w:val="000000"/>
                <w:kern w:val="0"/>
                <w:szCs w:val="21"/>
              </w:rPr>
            </w:pPr>
          </w:p>
        </w:tc>
        <w:tc>
          <w:tcPr>
            <w:tcW w:w="1417"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合计</w:t>
            </w:r>
          </w:p>
        </w:tc>
        <w:tc>
          <w:tcPr>
            <w:tcW w:w="1417"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一般公共预算拨款安排</w:t>
            </w:r>
          </w:p>
        </w:tc>
        <w:tc>
          <w:tcPr>
            <w:tcW w:w="1417"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政府性基金预算拨款安排</w:t>
            </w:r>
          </w:p>
        </w:tc>
        <w:tc>
          <w:tcPr>
            <w:tcW w:w="1281"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国有资本经营预算拨款安排</w:t>
            </w:r>
          </w:p>
        </w:tc>
        <w:tc>
          <w:tcPr>
            <w:tcW w:w="1304"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bCs/>
                <w:color w:val="000000"/>
                <w:kern w:val="0"/>
                <w:szCs w:val="21"/>
              </w:rPr>
            </w:pPr>
          </w:p>
        </w:tc>
        <w:tc>
          <w:tcPr>
            <w:tcW w:w="4536" w:type="dxa"/>
            <w:vMerge w:val="continue"/>
            <w:vAlign w:val="center"/>
          </w:tcPr>
          <w:p>
            <w:pPr>
              <w:widowControl/>
              <w:jc w:val="center"/>
              <w:rPr>
                <w:rFonts w:ascii="黑体" w:hAnsi="黑体" w:eastAsia="黑体" w:cs="宋体"/>
                <w:b/>
                <w:bCs/>
                <w:color w:val="000000"/>
                <w:kern w:val="0"/>
                <w:szCs w:val="21"/>
              </w:rPr>
            </w:pPr>
          </w:p>
        </w:tc>
        <w:tc>
          <w:tcPr>
            <w:tcW w:w="1417" w:type="dxa"/>
            <w:vMerge w:val="continue"/>
            <w:vAlign w:val="center"/>
          </w:tcPr>
          <w:p>
            <w:pPr>
              <w:widowControl/>
              <w:jc w:val="center"/>
              <w:rPr>
                <w:rFonts w:ascii="黑体" w:hAnsi="黑体" w:eastAsia="黑体" w:cs="宋体"/>
                <w:b/>
                <w:bCs/>
                <w:color w:val="000000"/>
                <w:kern w:val="0"/>
                <w:szCs w:val="21"/>
              </w:rPr>
            </w:pPr>
          </w:p>
        </w:tc>
        <w:tc>
          <w:tcPr>
            <w:tcW w:w="1417" w:type="dxa"/>
            <w:gridSpan w:val="2"/>
            <w:vMerge w:val="continue"/>
            <w:vAlign w:val="center"/>
          </w:tcPr>
          <w:p>
            <w:pPr>
              <w:widowControl/>
              <w:jc w:val="center"/>
              <w:rPr>
                <w:rFonts w:ascii="黑体" w:hAnsi="黑体" w:eastAsia="黑体" w:cs="宋体"/>
                <w:b/>
                <w:bCs/>
                <w:color w:val="000000"/>
                <w:kern w:val="0"/>
                <w:szCs w:val="21"/>
              </w:rPr>
            </w:pPr>
          </w:p>
        </w:tc>
        <w:tc>
          <w:tcPr>
            <w:tcW w:w="1417" w:type="dxa"/>
            <w:vMerge w:val="continue"/>
            <w:vAlign w:val="center"/>
          </w:tcPr>
          <w:p>
            <w:pPr>
              <w:widowControl/>
              <w:jc w:val="center"/>
              <w:rPr>
                <w:rFonts w:ascii="黑体" w:hAnsi="黑体" w:eastAsia="黑体" w:cs="宋体"/>
                <w:b/>
                <w:bCs/>
                <w:color w:val="000000"/>
                <w:kern w:val="0"/>
                <w:szCs w:val="21"/>
              </w:rPr>
            </w:pPr>
          </w:p>
        </w:tc>
        <w:tc>
          <w:tcPr>
            <w:tcW w:w="1281" w:type="dxa"/>
            <w:vMerge w:val="continue"/>
            <w:vAlign w:val="center"/>
          </w:tcPr>
          <w:p>
            <w:pPr>
              <w:widowControl/>
              <w:jc w:val="center"/>
              <w:rPr>
                <w:rFonts w:ascii="黑体" w:hAnsi="黑体" w:eastAsia="黑体" w:cs="宋体"/>
                <w:b/>
                <w:bCs/>
                <w:color w:val="000000"/>
                <w:kern w:val="0"/>
                <w:szCs w:val="21"/>
              </w:rPr>
            </w:pPr>
          </w:p>
        </w:tc>
        <w:tc>
          <w:tcPr>
            <w:tcW w:w="1304"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shd w:val="clear" w:color="auto" w:fill="auto"/>
            <w:vAlign w:val="center"/>
          </w:tcPr>
          <w:p>
            <w:pPr>
              <w:widowControl/>
              <w:rPr>
                <w:rFonts w:ascii="宋体" w:hAnsi="宋体" w:cs="宋体"/>
                <w:color w:val="000000"/>
                <w:kern w:val="0"/>
                <w:szCs w:val="21"/>
              </w:rPr>
            </w:pPr>
          </w:p>
        </w:tc>
        <w:tc>
          <w:tcPr>
            <w:tcW w:w="4536" w:type="dxa"/>
            <w:vMerge w:val="continue"/>
            <w:shd w:val="clear" w:color="auto" w:fill="auto"/>
            <w:vAlign w:val="center"/>
          </w:tcPr>
          <w:p>
            <w:pPr>
              <w:widowControl/>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281" w:type="dxa"/>
            <w:vMerge w:val="continue"/>
            <w:shd w:val="clear" w:color="auto" w:fill="auto"/>
            <w:vAlign w:val="center"/>
          </w:tcPr>
          <w:p>
            <w:pPr>
              <w:widowControl/>
              <w:jc w:val="right"/>
              <w:rPr>
                <w:rFonts w:ascii="宋体" w:hAnsi="宋体" w:cs="宋体"/>
                <w:color w:val="000000"/>
                <w:kern w:val="0"/>
                <w:szCs w:val="21"/>
              </w:rPr>
            </w:pPr>
          </w:p>
        </w:tc>
        <w:tc>
          <w:tcPr>
            <w:tcW w:w="1304"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大气污染防治</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环境监察与监测</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水污染防治</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16669.00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16669.00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唐山市环境保护局</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土壤污染防治</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 xml:space="preserve">  合计</w:t>
            </w:r>
          </w:p>
        </w:tc>
        <w:tc>
          <w:tcPr>
            <w:tcW w:w="4536" w:type="dxa"/>
            <w:shd w:val="clear" w:color="auto" w:fill="auto"/>
            <w:vAlign w:val="center"/>
          </w:tcPr>
          <w:p>
            <w:pPr>
              <w:widowControl/>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18735.00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18735.00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bl>
    <w:p>
      <w:pPr>
        <w:spacing w:line="0" w:lineRule="atLeast"/>
      </w:pPr>
    </w:p>
    <w:p>
      <w:pPr>
        <w:jc w:val="left"/>
        <w:rPr>
          <w:rFonts w:ascii="仿宋" w:hAnsi="仿宋" w:eastAsia="仿宋"/>
          <w:color w:val="000000"/>
          <w:sz w:val="28"/>
        </w:rPr>
        <w:sectPr>
          <w:headerReference r:id="rId19" w:type="default"/>
          <w:pgSz w:w="16838" w:h="11906" w:orient="landscape"/>
          <w:pgMar w:top="1800" w:right="1440" w:bottom="1800" w:left="1440" w:header="851" w:footer="992" w:gutter="0"/>
          <w:cols w:space="425" w:num="1"/>
          <w:docGrid w:type="lines" w:linePitch="312" w:charSpace="0"/>
        </w:sect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5" w:name="_Toc476241467"/>
      <w:r>
        <w:t>一、唐山市环境保护局收支预算安排</w:t>
      </w:r>
      <w:bookmarkEnd w:id="15"/>
    </w:p>
    <w:p>
      <w:pPr>
        <w:jc w:val="center"/>
        <w:rPr>
          <w:rFonts w:ascii="宋体" w:hAnsi="宋体" w:eastAsia="宋体"/>
          <w:b/>
          <w:color w:val="000000"/>
          <w:sz w:val="44"/>
        </w:rPr>
      </w:pPr>
      <w:r>
        <w:rPr>
          <w:rFonts w:hint="eastAsia" w:ascii="宋体" w:hAnsi="宋体" w:eastAsia="宋体"/>
          <w:b/>
          <w:color w:val="000000"/>
          <w:sz w:val="44"/>
        </w:rPr>
        <w:t>唐山市环境保护局职责任务与目标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spacing w:line="360" w:lineRule="auto"/>
        <w:ind w:firstLine="420" w:firstLineChars="200"/>
        <w:rPr>
          <w:rFonts w:ascii="宋体" w:hAnsi="宋体"/>
          <w:szCs w:val="21"/>
        </w:rPr>
      </w:pPr>
      <w:r>
        <w:rPr>
          <w:rFonts w:hint="eastAsia" w:ascii="宋体" w:hAnsi="宋体"/>
          <w:szCs w:val="21"/>
        </w:rPr>
        <w:t>1、负责建立健全环境保护基本制度。拟订并组织实施全市环境保护政策、规划，起草地方规范性文件草案。组织编制环境功能区划，组织制定环境保护地方性标准、基准和技术规范，组织拟订并监督实施重点区域、流域污染防治规划和饮用水水源地环境保护规划，参与制定全市主体功能区划。</w:t>
      </w:r>
    </w:p>
    <w:p>
      <w:pPr>
        <w:spacing w:line="360" w:lineRule="auto"/>
        <w:ind w:firstLine="420" w:firstLineChars="200"/>
        <w:rPr>
          <w:rFonts w:ascii="宋体" w:hAnsi="宋体"/>
          <w:szCs w:val="21"/>
        </w:rPr>
      </w:pPr>
      <w:r>
        <w:rPr>
          <w:rFonts w:hint="eastAsia" w:ascii="宋体" w:hAnsi="宋体"/>
          <w:szCs w:val="21"/>
        </w:rPr>
        <w:t>2、负责重大环境问题的统筹协调和监督管理。牵头协调市内重特大环境污染事故和生态破坏事件的调查处理，指导协调县、区政府对重特大突发环境事件的应急、预警工作，协调解决有关跨区域环境污染纠纷，统筹协调全市重点流域、区域污染防治工作。</w:t>
      </w:r>
    </w:p>
    <w:p>
      <w:pPr>
        <w:spacing w:line="360" w:lineRule="auto"/>
        <w:ind w:firstLine="200"/>
        <w:rPr>
          <w:rFonts w:ascii="宋体" w:hAnsi="宋体"/>
          <w:szCs w:val="21"/>
        </w:rPr>
      </w:pPr>
      <w:r>
        <w:rPr>
          <w:rFonts w:hint="eastAsia" w:ascii="宋体" w:hAnsi="宋体"/>
          <w:szCs w:val="21"/>
        </w:rPr>
        <w:t xml:space="preserve">   3、负责落实全市污染物减排目标的责任。组织制定主要污染物排放总量控制和排污许可证制度并监督实施。提出全市总量控制的污染物名称和控制指标，督查、督办、核查各县(区)污染物减排任务完成情况，实施环境保护目标责任制、总量减排考核并公布考核结果。</w:t>
      </w:r>
    </w:p>
    <w:p>
      <w:pPr>
        <w:spacing w:line="360" w:lineRule="auto"/>
        <w:ind w:firstLine="200"/>
        <w:rPr>
          <w:rFonts w:ascii="宋体" w:hAnsi="宋体"/>
          <w:szCs w:val="21"/>
        </w:rPr>
      </w:pPr>
      <w:r>
        <w:rPr>
          <w:rFonts w:hint="eastAsia" w:ascii="宋体" w:hAnsi="宋体"/>
          <w:szCs w:val="21"/>
        </w:rPr>
        <w:t xml:space="preserve">    4、负责提出环境保护领域固定资产投资规模和方向、市级财政性资金的安排意见，按市政府规定权限，审批、核准全市规划内和年度计划规模内固定资产投资项目，并配合有关部门做好组织实施和监督工作。参与指导和推动全市循环经济与环保产业发展，参与应对气候变化工作。</w:t>
      </w:r>
    </w:p>
    <w:p>
      <w:pPr>
        <w:spacing w:line="360" w:lineRule="auto"/>
        <w:ind w:firstLine="200"/>
        <w:rPr>
          <w:rFonts w:ascii="宋体" w:hAnsi="宋体"/>
          <w:szCs w:val="21"/>
        </w:rPr>
      </w:pPr>
      <w:r>
        <w:rPr>
          <w:rFonts w:hint="eastAsia" w:ascii="宋体" w:hAnsi="宋体"/>
          <w:szCs w:val="21"/>
        </w:rPr>
        <w:t xml:space="preserve">    5、承担从源头上预防、控制环境污染和环境破坏的责任。受市政府委托对重大经济和技术政策、发展规划以及重大经济开发计划进行环境影响评价，对涉及环境保护的地方规范性文件提出有关环境影响方面的意见：按国家和省规定审批重大开发建设区域、项目环境影响评价文件。</w:t>
      </w:r>
    </w:p>
    <w:p>
      <w:pPr>
        <w:spacing w:line="360" w:lineRule="auto"/>
        <w:ind w:firstLine="200"/>
        <w:rPr>
          <w:rFonts w:ascii="宋体" w:hAnsi="宋体"/>
          <w:szCs w:val="21"/>
        </w:rPr>
      </w:pPr>
      <w:r>
        <w:rPr>
          <w:rFonts w:hint="eastAsia" w:ascii="宋体" w:hAnsi="宋体"/>
          <w:szCs w:val="21"/>
        </w:rPr>
        <w:t xml:space="preserve">   6、负责环境污染防治的监督管理。制定水体、大气、土壤、噪声、光、恶臭、固体废物、化学品、机动车等的污染防治管理制度并组织实施，会同有关部门监督管理饮用水水源地环境保护工作，组织指导城镇和农村的环境综合整治工作。组织全市主要河流跨县(区)界的断面水质目标责任考核。</w:t>
      </w:r>
    </w:p>
    <w:p>
      <w:pPr>
        <w:spacing w:line="360" w:lineRule="auto"/>
        <w:ind w:firstLine="200"/>
        <w:rPr>
          <w:rFonts w:ascii="宋体" w:hAnsi="宋体"/>
          <w:szCs w:val="21"/>
        </w:rPr>
      </w:pPr>
      <w:r>
        <w:rPr>
          <w:rFonts w:hint="eastAsia" w:ascii="宋体" w:hAnsi="宋体"/>
          <w:szCs w:val="21"/>
        </w:rPr>
        <w:t xml:space="preserve">   7、指导、协调、监督生态保护工作。拟订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协调指导农村生态环境保护，监督生物技术环境安全，牵头生物物种(含遗传资源)工作，组织协调生物多样性保护。 </w:t>
      </w:r>
    </w:p>
    <w:p>
      <w:pPr>
        <w:spacing w:line="360" w:lineRule="auto"/>
        <w:ind w:firstLine="200"/>
        <w:rPr>
          <w:rFonts w:ascii="宋体" w:hAnsi="宋体"/>
          <w:szCs w:val="21"/>
        </w:rPr>
      </w:pPr>
      <w:r>
        <w:rPr>
          <w:rFonts w:hint="eastAsia" w:ascii="宋体" w:hAnsi="宋体"/>
          <w:szCs w:val="21"/>
        </w:rPr>
        <w:t xml:space="preserve">    8、负责核与辐射安全的监督管理。拟订有关政策、规</w:t>
      </w:r>
    </w:p>
    <w:p>
      <w:pPr>
        <w:spacing w:line="360" w:lineRule="auto"/>
        <w:ind w:firstLine="200"/>
        <w:rPr>
          <w:rFonts w:ascii="宋体" w:hAnsi="宋体"/>
          <w:szCs w:val="21"/>
        </w:rPr>
      </w:pPr>
      <w:r>
        <w:rPr>
          <w:rFonts w:hint="eastAsia" w:ascii="宋体" w:hAnsi="宋体"/>
          <w:szCs w:val="21"/>
        </w:rPr>
        <w:t>划、标准，参与核事故应急处理，负责辐射环境事故应急处理工作。监督管理核设施安全、放射源安全，监督管理核设施、核技术应用、电磁辐射、伴有放射性矿产资源开发利用中的污染防治。对核材料的管制和民用核安全设备的设计、制造、安装和无损检验活动实施监督管理。</w:t>
      </w:r>
    </w:p>
    <w:p>
      <w:pPr>
        <w:spacing w:line="360" w:lineRule="auto"/>
        <w:ind w:firstLine="315" w:firstLineChars="150"/>
        <w:rPr>
          <w:rFonts w:ascii="宋体" w:hAnsi="宋体"/>
          <w:szCs w:val="21"/>
        </w:rPr>
      </w:pPr>
      <w:r>
        <w:rPr>
          <w:rFonts w:hint="eastAsia" w:ascii="宋体" w:hAnsi="宋体"/>
          <w:szCs w:val="21"/>
        </w:rPr>
        <w:t>9、负责环境监测和信息发布。制定环境监测制度和规范，组织实施环境质量监测和污染源监督性监测。组织对环境质量状况进行调查评估、预测预警，组织建设和管理市级环境监测网和全市环境信息网，建立和实行环境质量公告制度，统一发布全市环境综合性报告、年度环境状况公报和重大环境信息。</w:t>
      </w:r>
    </w:p>
    <w:p>
      <w:pPr>
        <w:spacing w:line="360" w:lineRule="auto"/>
        <w:ind w:firstLine="200"/>
        <w:rPr>
          <w:rFonts w:ascii="宋体" w:hAnsi="宋体"/>
          <w:szCs w:val="21"/>
        </w:rPr>
      </w:pPr>
      <w:r>
        <w:rPr>
          <w:rFonts w:hint="eastAsia" w:ascii="宋体" w:hAnsi="宋体"/>
          <w:szCs w:val="21"/>
        </w:rPr>
        <w:t xml:space="preserve">    10、负责落实全市生态市创建目标责任制。承担《唐山</w:t>
      </w:r>
    </w:p>
    <w:p>
      <w:pPr>
        <w:spacing w:line="360" w:lineRule="auto"/>
        <w:ind w:firstLine="200"/>
        <w:rPr>
          <w:rFonts w:ascii="宋体" w:hAnsi="宋体"/>
          <w:szCs w:val="21"/>
        </w:rPr>
      </w:pPr>
      <w:r>
        <w:rPr>
          <w:rFonts w:hint="eastAsia" w:ascii="宋体" w:hAnsi="宋体"/>
          <w:szCs w:val="21"/>
        </w:rPr>
        <w:t>生态市建设规划》(规划期15年)创建规划的拟订、修订和实施工作。督查、督办、核查各县(区)生态市创建任务完成情况。</w:t>
      </w:r>
    </w:p>
    <w:p>
      <w:pPr>
        <w:spacing w:line="360" w:lineRule="auto"/>
        <w:ind w:firstLine="200"/>
        <w:rPr>
          <w:rFonts w:ascii="宋体" w:hAnsi="宋体"/>
          <w:szCs w:val="21"/>
        </w:rPr>
      </w:pPr>
      <w:r>
        <w:rPr>
          <w:rFonts w:hint="eastAsia" w:ascii="宋体" w:hAnsi="宋体"/>
          <w:szCs w:val="21"/>
        </w:rPr>
        <w:t xml:space="preserve">    11、开展环境保护科技工作，组织环境保护科学研究和技术工程示范，推动环境技术管理体系建设。</w:t>
      </w:r>
    </w:p>
    <w:p>
      <w:pPr>
        <w:spacing w:line="360" w:lineRule="auto"/>
        <w:ind w:firstLine="200"/>
        <w:rPr>
          <w:rFonts w:ascii="宋体" w:hAnsi="宋体"/>
          <w:szCs w:val="21"/>
        </w:rPr>
      </w:pPr>
      <w:r>
        <w:rPr>
          <w:rFonts w:hint="eastAsia" w:ascii="宋体" w:hAnsi="宋体"/>
          <w:szCs w:val="21"/>
        </w:rPr>
        <w:t xml:space="preserve">    12、开展环境保护对外合作交流，研究提出国际、省际、市际间环境合作中有关问题的建议，组织协调环境保护国际条约的履约工作，参与处理涉外环境保护事务。 </w:t>
      </w:r>
    </w:p>
    <w:p>
      <w:pPr>
        <w:spacing w:line="360" w:lineRule="auto"/>
        <w:ind w:firstLine="200"/>
        <w:rPr>
          <w:rFonts w:ascii="宋体" w:hAnsi="宋体"/>
          <w:szCs w:val="21"/>
        </w:rPr>
      </w:pPr>
      <w:r>
        <w:rPr>
          <w:rFonts w:hint="eastAsia" w:ascii="宋体" w:hAnsi="宋体"/>
          <w:szCs w:val="21"/>
        </w:rPr>
        <w:t xml:space="preserve">    13、组织指导和协调环境保护宣传教育工作，制定并组织实施环境保护宣传教育纲要，开展生态文明建设和环境友好型社会建设的有关宣传教育工作，推动社会公众和社会组织参与环境保护。</w:t>
      </w:r>
    </w:p>
    <w:p>
      <w:pPr>
        <w:spacing w:line="360" w:lineRule="auto"/>
        <w:ind w:firstLine="200"/>
        <w:rPr>
          <w:rFonts w:ascii="宋体" w:hAnsi="宋体"/>
          <w:szCs w:val="21"/>
        </w:rPr>
      </w:pPr>
      <w:r>
        <w:rPr>
          <w:rFonts w:hint="eastAsia" w:ascii="宋体" w:hAnsi="宋体"/>
          <w:szCs w:val="21"/>
        </w:rPr>
        <w:t xml:space="preserve">    14、承办市政府交办的其他事项。</w:t>
      </w:r>
    </w:p>
    <w:p>
      <w:pPr>
        <w:spacing w:line="360" w:lineRule="auto"/>
        <w:ind w:firstLine="200"/>
        <w:rPr>
          <w:rFonts w:ascii="宋体" w:hAnsi="宋体"/>
          <w:szCs w:val="21"/>
        </w:rPr>
      </w:pP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spacing w:line="360" w:lineRule="auto"/>
        <w:ind w:firstLine="420" w:firstLineChars="200"/>
        <w:rPr>
          <w:rFonts w:ascii="宋体" w:hAnsi="宋体"/>
          <w:szCs w:val="21"/>
        </w:rPr>
      </w:pPr>
      <w:r>
        <w:rPr>
          <w:rFonts w:hint="eastAsia" w:ascii="宋体" w:hAnsi="宋体"/>
          <w:szCs w:val="21"/>
        </w:rPr>
        <w:t>1、发挥源头控制作用。将二氧化硫、氮氧化物、化学需氧量、氨氮和烟粉尘排放是否符合总量控制要求作为建设项目环境影响评价审批的前置条件。在现有四项污染物排污权交易基础上，推行烟粉尘排污交易，推动企业初始排污权分配及有偿使用，启动商业银行与企业之间排污权质押贷款试点工作，更好地发挥市场在环境资源配置中的决定性作用。开展工业园区和产业发展规划环评，严格审查项目选址，限制审批</w:t>
      </w:r>
      <w:r>
        <w:rPr>
          <w:rFonts w:hint="eastAsia" w:ascii="宋体" w:hAnsi="宋体" w:cs="宋体"/>
          <w:kern w:val="0"/>
          <w:szCs w:val="21"/>
        </w:rPr>
        <w:t>产能过剩行业，</w:t>
      </w:r>
      <w:r>
        <w:rPr>
          <w:rFonts w:hint="eastAsia" w:ascii="宋体" w:hAnsi="宋体"/>
          <w:szCs w:val="21"/>
        </w:rPr>
        <w:t>限制审批</w:t>
      </w:r>
      <w:r>
        <w:rPr>
          <w:rFonts w:hint="eastAsia" w:ascii="宋体" w:hAnsi="宋体" w:cs="宋体"/>
          <w:kern w:val="0"/>
          <w:szCs w:val="21"/>
        </w:rPr>
        <w:t>未进行规划环评、污水处理厂和集中供热设施没有建成投运的工业园区（聚集区）建设项目，</w:t>
      </w:r>
      <w:r>
        <w:rPr>
          <w:rFonts w:hint="eastAsia" w:ascii="宋体" w:hAnsi="宋体"/>
          <w:szCs w:val="21"/>
        </w:rPr>
        <w:t>促进产业结构调整和发展方式转变。</w:t>
      </w:r>
    </w:p>
    <w:p>
      <w:pPr>
        <w:spacing w:line="360" w:lineRule="auto"/>
        <w:ind w:firstLine="420" w:firstLineChars="200"/>
        <w:rPr>
          <w:rFonts w:ascii="宋体" w:hAnsi="宋体"/>
          <w:szCs w:val="21"/>
        </w:rPr>
      </w:pPr>
      <w:r>
        <w:rPr>
          <w:rFonts w:hint="eastAsia" w:ascii="宋体" w:hAnsi="宋体"/>
          <w:szCs w:val="21"/>
        </w:rPr>
        <w:t>2、开展重点行业治理。</w:t>
      </w:r>
      <w:r>
        <w:rPr>
          <w:rFonts w:hint="eastAsia" w:ascii="宋体" w:hAnsi="宋体"/>
          <w:color w:val="000000"/>
          <w:szCs w:val="21"/>
        </w:rPr>
        <w:t>按照《唐山市钢铁焦化水泥电力玻璃行业大气污染治理攻坚行动方案》要求，推进钢铁、焦化、电力、水泥、玻璃等行业的脱硫、脱硝和除尘改造，</w:t>
      </w:r>
      <w:r>
        <w:rPr>
          <w:rFonts w:hint="eastAsia" w:ascii="宋体" w:hAnsi="宋体"/>
          <w:szCs w:val="21"/>
        </w:rPr>
        <w:t>6月底前，符合产业政策的钢铁企业球团竖炉全部完成脱硫设施建设。12月底前，所有钢铁企业余热、余压、余气实现全工艺过程回收利用，符合产业政策的烧结机机头和球团竖炉生产设备完成现有除尘设施升级改造，颗粒物达到特别排放限值（40毫克/立方米）要求</w:t>
      </w:r>
      <w:r>
        <w:rPr>
          <w:rFonts w:hint="eastAsia" w:ascii="宋体" w:hAnsi="宋体"/>
          <w:color w:val="000000"/>
          <w:szCs w:val="21"/>
        </w:rPr>
        <w:t>；</w:t>
      </w:r>
      <w:r>
        <w:rPr>
          <w:rFonts w:hint="eastAsia" w:ascii="宋体" w:hAnsi="宋体"/>
          <w:szCs w:val="21"/>
        </w:rPr>
        <w:t>继续推进焦化企业综合整治，</w:t>
      </w:r>
      <w:r>
        <w:rPr>
          <w:rFonts w:hint="eastAsia" w:ascii="宋体" w:hAnsi="宋体"/>
          <w:color w:val="000000"/>
          <w:szCs w:val="21"/>
        </w:rPr>
        <w:t>6月底前完成干熄焦及废水膜处理改造；</w:t>
      </w:r>
      <w:r>
        <w:rPr>
          <w:rFonts w:hint="eastAsia" w:ascii="宋体" w:hAnsi="宋体"/>
          <w:szCs w:val="21"/>
        </w:rPr>
        <w:t>电力行业企业所有燃煤机组完成现有除尘设施升级改造，</w:t>
      </w:r>
      <w:r>
        <w:rPr>
          <w:rFonts w:hint="eastAsia" w:ascii="宋体" w:hAnsi="宋体"/>
          <w:color w:val="000000"/>
          <w:szCs w:val="21"/>
        </w:rPr>
        <w:t>6月底前</w:t>
      </w:r>
      <w:r>
        <w:rPr>
          <w:rFonts w:hint="eastAsia" w:ascii="宋体" w:hAnsi="宋体"/>
          <w:szCs w:val="21"/>
        </w:rPr>
        <w:t>颗粒物达到特别排放限值（20毫克/立方米）要求；12月底前，所有水泥行业（包括粉磨站）收尘设备全部改为高效袋式除尘；玻璃行业完成生产线煤改气与脱硫脱硝工程建设。</w:t>
      </w:r>
    </w:p>
    <w:p>
      <w:pPr>
        <w:spacing w:line="360" w:lineRule="auto"/>
        <w:ind w:firstLine="420" w:firstLineChars="200"/>
        <w:rPr>
          <w:rFonts w:ascii="宋体" w:hAnsi="宋体"/>
          <w:szCs w:val="21"/>
        </w:rPr>
      </w:pPr>
      <w:r>
        <w:rPr>
          <w:rFonts w:hint="eastAsia" w:ascii="宋体" w:hAnsi="宋体"/>
          <w:szCs w:val="21"/>
        </w:rPr>
        <w:t>3、开展重点区域治理。强化采石场、独立</w:t>
      </w:r>
      <w:r>
        <w:rPr>
          <w:rFonts w:hint="eastAsia" w:ascii="宋体" w:hAnsi="宋体" w:cs="仿宋"/>
          <w:szCs w:val="21"/>
        </w:rPr>
        <w:t>烧结竖炉</w:t>
      </w:r>
      <w:r>
        <w:rPr>
          <w:rFonts w:hint="eastAsia" w:ascii="宋体" w:hAnsi="宋体"/>
          <w:szCs w:val="21"/>
        </w:rPr>
        <w:t>、独立轧钢等行业环境污染专项整治。对完成环保专项整治任务并申请验收的</w:t>
      </w:r>
      <w:r>
        <w:rPr>
          <w:rFonts w:hint="eastAsia" w:ascii="宋体" w:hAnsi="宋体" w:cs="仿宋"/>
          <w:szCs w:val="21"/>
        </w:rPr>
        <w:t>采石场</w:t>
      </w:r>
      <w:r>
        <w:rPr>
          <w:rFonts w:hint="eastAsia" w:ascii="宋体" w:hAnsi="宋体"/>
          <w:szCs w:val="21"/>
        </w:rPr>
        <w:t>、</w:t>
      </w:r>
      <w:r>
        <w:rPr>
          <w:rFonts w:hint="eastAsia" w:ascii="宋体" w:hAnsi="宋体" w:cs="仿宋"/>
          <w:szCs w:val="21"/>
        </w:rPr>
        <w:t>独立烧结竖炉</w:t>
      </w:r>
      <w:r>
        <w:rPr>
          <w:rFonts w:hint="eastAsia" w:ascii="宋体" w:hAnsi="宋体"/>
          <w:szCs w:val="21"/>
        </w:rPr>
        <w:t>、</w:t>
      </w:r>
      <w:r>
        <w:rPr>
          <w:rFonts w:hint="eastAsia" w:ascii="宋体" w:hAnsi="宋体" w:cs="仿宋"/>
          <w:szCs w:val="21"/>
        </w:rPr>
        <w:t>独立轧钢</w:t>
      </w:r>
      <w:r>
        <w:rPr>
          <w:rFonts w:hint="eastAsia" w:ascii="宋体" w:hAnsi="宋体"/>
          <w:szCs w:val="21"/>
        </w:rPr>
        <w:t>、</w:t>
      </w:r>
      <w:r>
        <w:rPr>
          <w:rFonts w:hint="eastAsia" w:ascii="宋体" w:hAnsi="宋体" w:cs="仿宋"/>
          <w:szCs w:val="21"/>
        </w:rPr>
        <w:t>石灰生产</w:t>
      </w:r>
      <w:r>
        <w:rPr>
          <w:rFonts w:hint="eastAsia" w:ascii="宋体" w:hAnsi="宋体"/>
          <w:szCs w:val="21"/>
        </w:rPr>
        <w:t>企业会同工信、质监等部门进行联合验收。对未按要求如期完成整治任务或未通过联合验收的企业，责成所在县（市）区政府、开发区（管理区）管委会依法实施断电停产治理，暂扣企业排污许可证、生产许可证，并函告金融、质监、工商、工信等部门实施相关政策限制。</w:t>
      </w:r>
    </w:p>
    <w:p>
      <w:pPr>
        <w:spacing w:line="360" w:lineRule="auto"/>
        <w:ind w:firstLine="420" w:firstLineChars="200"/>
        <w:rPr>
          <w:rFonts w:ascii="宋体" w:hAnsi="宋体" w:cs="方正楷体简体"/>
          <w:szCs w:val="21"/>
        </w:rPr>
      </w:pPr>
      <w:r>
        <w:rPr>
          <w:rFonts w:hint="eastAsia" w:ascii="宋体" w:hAnsi="宋体"/>
          <w:color w:val="000000"/>
          <w:szCs w:val="21"/>
        </w:rPr>
        <w:t>4、实施点源、面源治理。一是推进燃煤锅炉整治。</w:t>
      </w:r>
      <w:r>
        <w:rPr>
          <w:rFonts w:hint="eastAsia" w:ascii="宋体" w:hAnsi="宋体" w:cs="宋体"/>
          <w:color w:val="000000"/>
          <w:szCs w:val="21"/>
        </w:rPr>
        <w:t>通过集</w:t>
      </w:r>
      <w:r>
        <w:rPr>
          <w:rFonts w:hint="eastAsia" w:ascii="宋体" w:hAnsi="宋体"/>
          <w:color w:val="000000"/>
          <w:szCs w:val="21"/>
        </w:rPr>
        <w:t>中供热、“煤改气”、“煤改电”等措施推进燃煤锅炉整治</w:t>
      </w:r>
      <w:r>
        <w:rPr>
          <w:rFonts w:hint="eastAsia" w:ascii="宋体" w:hAnsi="宋体"/>
          <w:color w:val="333333"/>
          <w:szCs w:val="21"/>
        </w:rPr>
        <w:t>，</w:t>
      </w:r>
      <w:r>
        <w:rPr>
          <w:rFonts w:hint="eastAsia" w:ascii="宋体" w:hAnsi="宋体"/>
          <w:szCs w:val="21"/>
        </w:rPr>
        <w:t>10月底前完成市中心区257台燃煤锅炉拆除或能源置换；其他县（市）区也要制订2014年锅炉淘汰的具体任务并组织实施</w:t>
      </w:r>
      <w:r>
        <w:rPr>
          <w:rFonts w:hint="eastAsia" w:ascii="宋体" w:hAnsi="宋体"/>
          <w:color w:val="000000"/>
          <w:szCs w:val="21"/>
        </w:rPr>
        <w:t>。</w:t>
      </w:r>
      <w:r>
        <w:rPr>
          <w:rFonts w:hint="eastAsia" w:ascii="宋体" w:hAnsi="宋体"/>
          <w:szCs w:val="21"/>
        </w:rPr>
        <w:t>二是</w:t>
      </w:r>
      <w:r>
        <w:rPr>
          <w:rFonts w:hint="eastAsia" w:ascii="宋体" w:hAnsi="宋体"/>
          <w:color w:val="000000"/>
          <w:szCs w:val="21"/>
        </w:rPr>
        <w:t>强化餐饮行业污染治理。12月底前，主城区及县城建成区餐饮行业全部安装高效油烟净化设施，取缔燃煤大灶。三是推进挥发性有机物综合治理。</w:t>
      </w:r>
      <w:r>
        <w:rPr>
          <w:rFonts w:hint="eastAsia" w:ascii="宋体" w:hAnsi="宋体" w:cs="方正楷体简体"/>
          <w:szCs w:val="21"/>
        </w:rPr>
        <w:t>在完成基础数据调查的基础上编制挥发性有机物治理实施方案，有序推进有机化工、医药、塑料制品和包装印刷等重点行业挥发性有机物治理。四是</w:t>
      </w:r>
      <w:r>
        <w:rPr>
          <w:rFonts w:hint="eastAsia" w:ascii="宋体" w:hAnsi="宋体"/>
          <w:color w:val="000000"/>
          <w:szCs w:val="21"/>
        </w:rPr>
        <w:t>加强对市区、县城建成区及周边干散料场整治，6</w:t>
      </w:r>
      <w:r>
        <w:rPr>
          <w:rFonts w:hint="eastAsia" w:ascii="宋体" w:hAnsi="宋体" w:cs="方正楷体简体"/>
          <w:szCs w:val="21"/>
        </w:rPr>
        <w:t>月底前，所有煤堆、散料堆、配煤场所等全部实现封闭储存。五是加快低硫煤经销站点建设。根据城乡居民生活需求，合理布局建设适量低硫煤经销站点，各县（市）区完成低硫煤经销站点设立。</w:t>
      </w:r>
    </w:p>
    <w:p>
      <w:pPr>
        <w:spacing w:line="360" w:lineRule="auto"/>
        <w:ind w:firstLine="420" w:firstLineChars="200"/>
        <w:rPr>
          <w:rFonts w:ascii="宋体" w:hAnsi="宋体"/>
          <w:szCs w:val="21"/>
        </w:rPr>
      </w:pPr>
      <w:r>
        <w:rPr>
          <w:rFonts w:hint="eastAsia" w:ascii="宋体" w:hAnsi="宋体"/>
          <w:szCs w:val="21"/>
        </w:rPr>
        <w:t>5、强化主要污染物减排。安排重点减排项目450个，其中工业减排项目100个，重点推动电力、水泥行业脱硝工程建设，提前一年完成“十二五”电力、水泥企业脱硝任务；规模化畜禽养殖治理项目350个，推动减少30%以上养殖专业户。同时，推进机动车污染防治，配合公安等部门淘汰2.5万辆黄标车，9月底前城市建成区全面实施黄标车限行。加强机动车环保定期检验和环保标志核发工作，完善机动车尾气监控平台建设，2014年10月底前在全市全面推行简易工况法检测。</w:t>
      </w:r>
    </w:p>
    <w:p>
      <w:pPr>
        <w:spacing w:line="360" w:lineRule="auto"/>
        <w:ind w:firstLine="420" w:firstLineChars="200"/>
        <w:rPr>
          <w:rFonts w:ascii="宋体" w:hAnsi="宋体"/>
          <w:szCs w:val="21"/>
        </w:rPr>
      </w:pPr>
      <w:r>
        <w:rPr>
          <w:rFonts w:hint="eastAsia" w:ascii="宋体" w:hAnsi="宋体" w:cs="仿宋_GB2312"/>
          <w:kern w:val="0"/>
          <w:szCs w:val="21"/>
        </w:rPr>
        <w:t>6、开展水环境综合整治。</w:t>
      </w:r>
      <w:r>
        <w:rPr>
          <w:rFonts w:hint="eastAsia" w:ascii="宋体" w:hAnsi="宋体"/>
          <w:bCs/>
          <w:szCs w:val="21"/>
        </w:rPr>
        <w:t>加强饮用水源地保护，</w:t>
      </w:r>
      <w:r>
        <w:rPr>
          <w:rFonts w:hint="eastAsia" w:ascii="宋体" w:hAnsi="宋体"/>
          <w:szCs w:val="21"/>
        </w:rPr>
        <w:t>完成陡河水库二级保护区内6个乡镇72个行政村的生活污水、生活垃圾、畜禽养殖污染综合治理；完成全市乡（镇）以上集中式饮用水水源保护区的划定。加强滦河、还乡河等重点河流、重点流域水污染防治，强化</w:t>
      </w:r>
      <w:r>
        <w:rPr>
          <w:rFonts w:hint="eastAsia" w:ascii="宋体" w:hAnsi="宋体"/>
          <w:bCs/>
          <w:szCs w:val="21"/>
        </w:rPr>
        <w:t>主要河流跨县界断面水质断面考核，</w:t>
      </w:r>
      <w:r>
        <w:rPr>
          <w:rFonts w:hint="eastAsia" w:ascii="宋体" w:hAnsi="宋体"/>
          <w:szCs w:val="21"/>
        </w:rPr>
        <w:t>推进重点水污染治理项目建设，完成42个重点水污染治理项目。完成陡河沿线污水处理厂提标改造、污水管网建设、企业污染治理、河道综合治理等16项工程建设和开工建设2015年需要完成3个工程项目。</w:t>
      </w:r>
    </w:p>
    <w:p>
      <w:pPr>
        <w:spacing w:line="360" w:lineRule="auto"/>
        <w:ind w:firstLine="420" w:firstLineChars="200"/>
        <w:rPr>
          <w:rFonts w:ascii="宋体" w:hAnsi="宋体"/>
          <w:szCs w:val="21"/>
        </w:rPr>
      </w:pPr>
      <w:r>
        <w:rPr>
          <w:rFonts w:hint="eastAsia" w:ascii="宋体" w:hAnsi="宋体"/>
          <w:bCs/>
          <w:szCs w:val="21"/>
        </w:rPr>
        <w:t>7、提升科技监管能力。</w:t>
      </w:r>
      <w:r>
        <w:rPr>
          <w:rFonts w:hint="eastAsia" w:ascii="宋体" w:hAnsi="宋体"/>
          <w:szCs w:val="21"/>
        </w:rPr>
        <w:t>加快“智慧环保”建设，</w:t>
      </w:r>
      <w:r>
        <w:rPr>
          <w:rFonts w:hint="eastAsia" w:ascii="宋体" w:hAnsi="宋体"/>
          <w:bCs/>
          <w:szCs w:val="21"/>
        </w:rPr>
        <w:t>继续推进</w:t>
      </w:r>
      <w:r>
        <w:rPr>
          <w:rFonts w:hint="eastAsia" w:ascii="宋体" w:hAnsi="宋体"/>
          <w:szCs w:val="21"/>
        </w:rPr>
        <w:t>在线监测扩面和县（市）区监控指挥中心建设，强化在线监测设施和污染源自动监控系统运行管理的监督性检查，确保纳入国家考核的102家国控企业污染源自动监控数据传输有效率达到75%以上。充分发挥污染源自动监控系统在排污费征收、行政处罚等环境监督管理工作中的作用。推进重点污染源二氧化硫、氮氧化物和颗粒物在线监测能力建设和钢铁、焦化、电力、城市污水处理厂工况监控系统建设。</w:t>
      </w:r>
    </w:p>
    <w:p>
      <w:pPr>
        <w:spacing w:line="360" w:lineRule="auto"/>
        <w:ind w:firstLine="420" w:firstLineChars="200"/>
        <w:rPr>
          <w:rFonts w:ascii="宋体" w:hAnsi="宋体"/>
          <w:szCs w:val="21"/>
        </w:rPr>
      </w:pPr>
      <w:r>
        <w:rPr>
          <w:rFonts w:hint="eastAsia" w:ascii="宋体" w:hAnsi="宋体"/>
          <w:szCs w:val="21"/>
        </w:rPr>
        <w:t>8、强化环境执法监察。继续开展“打击环境违法犯罪、利剑斩污”攻坚战和保障群众健康环保专项行动，加强与公安部门的协调联动，建立常态化夜间巡查暗访工作制度和联合执法、区域执法、交叉执法工作机制，加大巡查暗访力度，对涉嫌犯罪的及时向公安部门移交，确保行政处罚和环境违法行为整改到位。规范排污费申报、征收和稽查程序，确保排污费依法、足额、全面、及时征收，实现排污费征收规范化管理。畅通12369环保举报电话，落实环境信息公开和有奖举报制度，加大信访查处力度，着力解决一批重点地区、重点行业、重点部位的环境突出问题。</w:t>
      </w:r>
    </w:p>
    <w:p>
      <w:pPr>
        <w:spacing w:line="360" w:lineRule="auto"/>
        <w:ind w:firstLine="420" w:firstLineChars="200"/>
        <w:rPr>
          <w:rFonts w:ascii="宋体" w:hAnsi="宋体"/>
          <w:szCs w:val="21"/>
        </w:rPr>
      </w:pPr>
      <w:r>
        <w:rPr>
          <w:rFonts w:hint="eastAsia" w:ascii="宋体" w:hAnsi="宋体"/>
          <w:szCs w:val="21"/>
        </w:rPr>
        <w:t>9、加强辐射管理。贯彻落实《河北省辐射污染防治条例》，提高县（市）区辐射监管能力建设。以新购放射源和辐射安全许可证延续为抓手，强化辐射类建设项目验收，理顺辐射项目管理程序。扎实开展辐射执法检查，彻底摸清放射源底数，规范企业辐射管理行为。继续推进废旧金属熔炼企业辐射监测系统建设和推进放射源在线监控工作，利用科技手段实现放射源的可防可控。进一步强化废旧放射源的送储工作，消除环境安全隐患。</w:t>
      </w:r>
    </w:p>
    <w:p>
      <w:pPr>
        <w:spacing w:line="360" w:lineRule="auto"/>
        <w:ind w:firstLine="420" w:firstLineChars="200"/>
        <w:rPr>
          <w:rFonts w:ascii="宋体" w:hAnsi="宋体"/>
          <w:szCs w:val="21"/>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9"/>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626002唐山市环境保护局</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20062.84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20062.84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14192.18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635.66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5235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20062.84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565.87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475.46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90.41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761.97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126.31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635.66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18735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20"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626002唐山市环境保护局</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565.87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565.87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一、工资福利支出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475.46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475.46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161.78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161.78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145.90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145.90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139.05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139.05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工作津贴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55.64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55.64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生活补贴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83.41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83.41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增发津补贴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2）（特殊）岗位津贴（补贴）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3）规范津补贴后仍继续保留的补贴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回族补贴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职工劳模荣誉津贴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4）上述项目之外的津贴补贴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通讯费补贴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5.74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5.74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女职工卫生费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154.30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154.30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62.86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62.86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25.14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25.14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3）基本医疗保险费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65.51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65.51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4）事业单位失业保险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5）事业单位工伤保险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6）职工生育保险费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6、其他工资福利支出</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1）人事代理人员工资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2）劳务派遣人员工资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3）其他编外人员工资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4）病假两个月以上期间的人员工资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5）教师超工作量津贴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6）各种加班工资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7）预留人员经费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二、对个人和家庭的补助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90.41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90.41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37.72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37.72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49.32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49.32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25.27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25.27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21"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正常公用经费预算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626002唐山市环境保护局</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126.31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126.31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一、定额安排公用经费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63.86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63.86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8.34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8.34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7、公务交通补贴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31.26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31.26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8、其他商品和服务支出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二、按规定比例提取安排公用经费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18.10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18.10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三、非定额安排公用经费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44.35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44.35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27.15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27.15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14.00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14.00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22"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项目支出预算</w:t>
      </w:r>
    </w:p>
    <w:tbl>
      <w:tblPr>
        <w:tblStyle w:val="9"/>
        <w:tblW w:w="14192" w:type="dxa"/>
        <w:jc w:val="center"/>
        <w:tblInd w:w="-18" w:type="dxa"/>
        <w:tblLayout w:type="fixed"/>
        <w:tblCellMar>
          <w:top w:w="0" w:type="dxa"/>
          <w:left w:w="108" w:type="dxa"/>
          <w:bottom w:w="0" w:type="dxa"/>
          <w:right w:w="108" w:type="dxa"/>
        </w:tblCellMar>
      </w:tblPr>
      <w:tblGrid>
        <w:gridCol w:w="18"/>
        <w:gridCol w:w="2802"/>
        <w:gridCol w:w="1416"/>
        <w:gridCol w:w="1420"/>
        <w:gridCol w:w="1417"/>
        <w:gridCol w:w="1701"/>
        <w:gridCol w:w="1145"/>
        <w:gridCol w:w="272"/>
        <w:gridCol w:w="1415"/>
        <w:gridCol w:w="1276"/>
        <w:gridCol w:w="1088"/>
        <w:gridCol w:w="222"/>
      </w:tblGrid>
      <w:tr>
        <w:tblPrEx>
          <w:tblLayout w:type="fixed"/>
          <w:tblCellMar>
            <w:top w:w="0" w:type="dxa"/>
            <w:left w:w="108" w:type="dxa"/>
            <w:bottom w:w="0" w:type="dxa"/>
            <w:right w:w="108" w:type="dxa"/>
          </w:tblCellMar>
        </w:tblPrEx>
        <w:trPr>
          <w:gridAfter w:val="1"/>
          <w:wAfter w:w="222" w:type="dxa"/>
          <w:cantSplit/>
          <w:trHeight w:val="270" w:hRule="atLeast"/>
          <w:tblHeader/>
          <w:jc w:val="center"/>
        </w:trPr>
        <w:tc>
          <w:tcPr>
            <w:tcW w:w="9919" w:type="dxa"/>
            <w:gridSpan w:val="7"/>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626002唐山市环境保护局</w:t>
            </w:r>
            <w:r>
              <w:rPr>
                <w:rFonts w:hint="eastAsia" w:ascii="宋体" w:hAnsi="宋体" w:cs="宋体"/>
                <w:color w:val="000000"/>
                <w:kern w:val="0"/>
                <w:sz w:val="22"/>
              </w:rPr>
              <w:t>　</w:t>
            </w:r>
          </w:p>
        </w:tc>
        <w:tc>
          <w:tcPr>
            <w:tcW w:w="4051"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270" w:hRule="atLeast"/>
          <w:tblHeader/>
          <w:jc w:val="center"/>
        </w:trPr>
        <w:tc>
          <w:tcPr>
            <w:tcW w:w="2802"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416"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2837" w:type="dxa"/>
            <w:gridSpan w:val="2"/>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项目类型</w:t>
            </w:r>
          </w:p>
        </w:tc>
        <w:tc>
          <w:tcPr>
            <w:tcW w:w="7119" w:type="dxa"/>
            <w:gridSpan w:val="7"/>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color w:val="000000"/>
                <w:kern w:val="0"/>
                <w:szCs w:val="21"/>
              </w:rPr>
            </w:pPr>
          </w:p>
        </w:tc>
        <w:tc>
          <w:tcPr>
            <w:tcW w:w="1416" w:type="dxa"/>
            <w:vMerge w:val="continue"/>
            <w:vAlign w:val="center"/>
          </w:tcPr>
          <w:p>
            <w:pPr>
              <w:widowControl/>
              <w:jc w:val="center"/>
              <w:rPr>
                <w:rFonts w:ascii="黑体" w:hAnsi="黑体" w:eastAsia="黑体" w:cs="宋体"/>
                <w:b/>
                <w:bCs/>
                <w:color w:val="000000"/>
                <w:kern w:val="0"/>
                <w:szCs w:val="21"/>
              </w:rPr>
            </w:pPr>
          </w:p>
        </w:tc>
        <w:tc>
          <w:tcPr>
            <w:tcW w:w="1420"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大类</w:t>
            </w:r>
          </w:p>
        </w:tc>
        <w:tc>
          <w:tcPr>
            <w:tcW w:w="1417"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小类</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5"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1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color w:val="000000"/>
                <w:kern w:val="0"/>
                <w:szCs w:val="21"/>
              </w:rPr>
            </w:pPr>
          </w:p>
        </w:tc>
        <w:tc>
          <w:tcPr>
            <w:tcW w:w="1416" w:type="dxa"/>
            <w:vMerge w:val="continue"/>
            <w:vAlign w:val="center"/>
          </w:tcPr>
          <w:p>
            <w:pPr>
              <w:widowControl/>
              <w:jc w:val="center"/>
              <w:rPr>
                <w:rFonts w:ascii="黑体" w:hAnsi="黑体" w:eastAsia="黑体" w:cs="宋体"/>
                <w:b/>
                <w:bCs/>
                <w:color w:val="000000"/>
                <w:kern w:val="0"/>
                <w:szCs w:val="21"/>
              </w:rPr>
            </w:pPr>
          </w:p>
        </w:tc>
        <w:tc>
          <w:tcPr>
            <w:tcW w:w="1420" w:type="dxa"/>
            <w:vMerge w:val="continue"/>
            <w:vAlign w:val="center"/>
          </w:tcPr>
          <w:p>
            <w:pPr>
              <w:widowControl/>
              <w:jc w:val="center"/>
              <w:rPr>
                <w:rFonts w:ascii="黑体" w:hAnsi="黑体" w:eastAsia="黑体" w:cs="宋体"/>
                <w:b/>
                <w:bCs/>
                <w:color w:val="000000"/>
                <w:kern w:val="0"/>
                <w:szCs w:val="21"/>
              </w:rPr>
            </w:pPr>
          </w:p>
        </w:tc>
        <w:tc>
          <w:tcPr>
            <w:tcW w:w="1417" w:type="dxa"/>
            <w:vMerge w:val="continue"/>
            <w:vAlign w:val="center"/>
          </w:tcPr>
          <w:p>
            <w:pPr>
              <w:widowControl/>
              <w:jc w:val="center"/>
              <w:rPr>
                <w:rFonts w:ascii="黑体" w:hAnsi="黑体" w:eastAsia="黑体" w:cs="宋体"/>
                <w:b/>
                <w:bCs/>
                <w:color w:val="000000"/>
                <w:kern w:val="0"/>
                <w:szCs w:val="21"/>
              </w:rPr>
            </w:pPr>
          </w:p>
        </w:tc>
        <w:tc>
          <w:tcPr>
            <w:tcW w:w="1701" w:type="dxa"/>
            <w:vMerge w:val="continue"/>
            <w:vAlign w:val="center"/>
          </w:tcPr>
          <w:p>
            <w:pPr>
              <w:widowControl/>
              <w:jc w:val="center"/>
              <w:rPr>
                <w:rFonts w:ascii="黑体" w:hAnsi="黑体" w:eastAsia="黑体" w:cs="宋体"/>
                <w:b/>
                <w:bCs/>
                <w:color w:val="000000"/>
                <w:kern w:val="0"/>
                <w:szCs w:val="21"/>
              </w:rPr>
            </w:pPr>
          </w:p>
        </w:tc>
        <w:tc>
          <w:tcPr>
            <w:tcW w:w="1417" w:type="dxa"/>
            <w:gridSpan w:val="2"/>
            <w:vMerge w:val="continue"/>
            <w:vAlign w:val="center"/>
          </w:tcPr>
          <w:p>
            <w:pPr>
              <w:widowControl/>
              <w:jc w:val="center"/>
              <w:rPr>
                <w:rFonts w:ascii="黑体" w:hAnsi="黑体" w:eastAsia="黑体" w:cs="宋体"/>
                <w:b/>
                <w:bCs/>
                <w:color w:val="000000"/>
                <w:kern w:val="0"/>
                <w:szCs w:val="21"/>
              </w:rPr>
            </w:pPr>
          </w:p>
        </w:tc>
        <w:tc>
          <w:tcPr>
            <w:tcW w:w="1415"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1310"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shd w:val="clear" w:color="auto" w:fill="auto"/>
            <w:vAlign w:val="center"/>
          </w:tcPr>
          <w:p>
            <w:pPr>
              <w:widowControl/>
              <w:jc w:val="left"/>
              <w:rPr>
                <w:rFonts w:ascii="宋体" w:hAnsi="宋体" w:cs="宋体"/>
                <w:color w:val="000000"/>
                <w:kern w:val="0"/>
                <w:szCs w:val="21"/>
              </w:rPr>
            </w:pPr>
          </w:p>
        </w:tc>
        <w:tc>
          <w:tcPr>
            <w:tcW w:w="1416" w:type="dxa"/>
            <w:vMerge w:val="continue"/>
            <w:shd w:val="clear" w:color="auto" w:fill="auto"/>
            <w:vAlign w:val="center"/>
          </w:tcPr>
          <w:p>
            <w:pPr>
              <w:widowControl/>
              <w:jc w:val="left"/>
              <w:rPr>
                <w:rFonts w:ascii="宋体" w:hAnsi="宋体" w:cs="宋体"/>
                <w:color w:val="000000"/>
                <w:kern w:val="0"/>
                <w:szCs w:val="21"/>
              </w:rPr>
            </w:pPr>
          </w:p>
        </w:tc>
        <w:tc>
          <w:tcPr>
            <w:tcW w:w="1420"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415" w:type="dxa"/>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1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专项项目经费</w:t>
            </w:r>
          </w:p>
        </w:tc>
        <w:tc>
          <w:tcPr>
            <w:tcW w:w="1416" w:type="dxa"/>
            <w:shd w:val="clear" w:color="auto" w:fill="auto"/>
            <w:vAlign w:val="center"/>
          </w:tcPr>
          <w:p>
            <w:pPr>
              <w:widowControl/>
              <w:jc w:val="left"/>
              <w:rPr>
                <w:rFonts w:ascii="宋体" w:hAnsi="宋体" w:cs="宋体"/>
                <w:color w:val="000000"/>
                <w:kern w:val="0"/>
                <w:szCs w:val="21"/>
              </w:rPr>
            </w:pPr>
          </w:p>
        </w:tc>
        <w:tc>
          <w:tcPr>
            <w:tcW w:w="1420"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18735.00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18735.00</w:t>
            </w:r>
          </w:p>
        </w:tc>
        <w:tc>
          <w:tcPr>
            <w:tcW w:w="1415" w:type="dxa"/>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1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大气污染防治</w:t>
            </w:r>
          </w:p>
        </w:tc>
        <w:tc>
          <w:tcPr>
            <w:tcW w:w="14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42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04-企事业单位补贴</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0401 企事业单位补 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378.00</w:t>
            </w:r>
          </w:p>
        </w:tc>
        <w:tc>
          <w:tcPr>
            <w:tcW w:w="1415" w:type="dxa"/>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1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环境监察与监测</w:t>
            </w:r>
          </w:p>
        </w:tc>
        <w:tc>
          <w:tcPr>
            <w:tcW w:w="14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42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04-企事业单位补贴</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0401 企事业单位补 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1415" w:type="dxa"/>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1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水污染防治</w:t>
            </w:r>
          </w:p>
        </w:tc>
        <w:tc>
          <w:tcPr>
            <w:tcW w:w="14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42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04-企事业单位补贴</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0401 企事业单位补 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16669.00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16669.00</w:t>
            </w:r>
          </w:p>
        </w:tc>
        <w:tc>
          <w:tcPr>
            <w:tcW w:w="1415" w:type="dxa"/>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1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土壤污染防治</w:t>
            </w:r>
          </w:p>
        </w:tc>
        <w:tc>
          <w:tcPr>
            <w:tcW w:w="14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42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04-企事业单位补贴</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0401 企事业单位补 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1415" w:type="dxa"/>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1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23"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9"/>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626002唐山市环境保护局</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10.85</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10.85</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（一）因公出国境费用</w:t>
            </w:r>
          </w:p>
        </w:tc>
        <w:tc>
          <w:tcPr>
            <w:tcW w:w="1843" w:type="dxa"/>
            <w:gridSpan w:val="2"/>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二、会议费</w:t>
            </w:r>
          </w:p>
        </w:tc>
        <w:tc>
          <w:tcPr>
            <w:tcW w:w="1843" w:type="dxa"/>
            <w:gridSpan w:val="2"/>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16.51</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16.51</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27.36</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27.36</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24"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专项公用经费支出安排表</w:t>
      </w:r>
    </w:p>
    <w:tbl>
      <w:tblPr>
        <w:tblStyle w:val="9"/>
        <w:tblW w:w="13970" w:type="dxa"/>
        <w:jc w:val="center"/>
        <w:tblInd w:w="-18" w:type="dxa"/>
        <w:tblLayout w:type="fixed"/>
        <w:tblCellMar>
          <w:top w:w="0" w:type="dxa"/>
          <w:left w:w="108" w:type="dxa"/>
          <w:bottom w:w="0" w:type="dxa"/>
          <w:right w:w="108" w:type="dxa"/>
        </w:tblCellMar>
      </w:tblPr>
      <w:tblGrid>
        <w:gridCol w:w="18"/>
        <w:gridCol w:w="1689"/>
        <w:gridCol w:w="5301"/>
        <w:gridCol w:w="1418"/>
        <w:gridCol w:w="1365"/>
        <w:gridCol w:w="52"/>
        <w:gridCol w:w="1418"/>
        <w:gridCol w:w="1417"/>
        <w:gridCol w:w="1105"/>
        <w:gridCol w:w="187"/>
      </w:tblGrid>
      <w:tr>
        <w:tblPrEx>
          <w:tblLayout w:type="fixed"/>
          <w:tblCellMar>
            <w:top w:w="0" w:type="dxa"/>
            <w:left w:w="108" w:type="dxa"/>
            <w:bottom w:w="0" w:type="dxa"/>
            <w:right w:w="108" w:type="dxa"/>
          </w:tblCellMar>
        </w:tblPrEx>
        <w:trPr>
          <w:gridBefore w:val="1"/>
          <w:gridAfter w:val="1"/>
          <w:wBefore w:w="18" w:type="dxa"/>
          <w:wAfter w:w="187" w:type="dxa"/>
          <w:cantSplit/>
          <w:trHeight w:val="270" w:hRule="atLeast"/>
          <w:tblHeader/>
          <w:jc w:val="center"/>
        </w:trPr>
        <w:tc>
          <w:tcPr>
            <w:tcW w:w="9773" w:type="dxa"/>
            <w:gridSpan w:val="4"/>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626002唐山市环境保护局</w:t>
            </w:r>
            <w:r>
              <w:rPr>
                <w:rFonts w:hint="eastAsia" w:ascii="宋体" w:hAnsi="宋体" w:cs="宋体"/>
                <w:color w:val="000000"/>
                <w:kern w:val="0"/>
                <w:sz w:val="22"/>
              </w:rPr>
              <w:t>　</w:t>
            </w:r>
          </w:p>
        </w:tc>
        <w:tc>
          <w:tcPr>
            <w:tcW w:w="3992"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170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功能分类科目编码</w:t>
            </w:r>
          </w:p>
        </w:tc>
        <w:tc>
          <w:tcPr>
            <w:tcW w:w="53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预算支出项目</w:t>
            </w:r>
          </w:p>
        </w:tc>
        <w:tc>
          <w:tcPr>
            <w:tcW w:w="6962"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黑体" w:hAnsi="黑体" w:eastAsia="黑体" w:cs="宋体"/>
                <w:b/>
                <w:color w:val="000000"/>
                <w:kern w:val="0"/>
                <w:szCs w:val="21"/>
              </w:rPr>
            </w:pPr>
          </w:p>
        </w:tc>
        <w:tc>
          <w:tcPr>
            <w:tcW w:w="5301" w:type="dxa"/>
            <w:vMerge w:val="continue"/>
            <w:vAlign w:val="center"/>
          </w:tcPr>
          <w:p>
            <w:pPr>
              <w:widowControl/>
              <w:jc w:val="center"/>
              <w:rPr>
                <w:rFonts w:ascii="黑体" w:hAnsi="黑体" w:eastAsia="黑体" w:cs="宋体"/>
                <w:b/>
                <w:color w:val="000000"/>
                <w:kern w:val="0"/>
                <w:szCs w:val="21"/>
              </w:rPr>
            </w:pP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92"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宋体" w:hAnsi="宋体" w:cs="宋体"/>
                <w:b/>
                <w:color w:val="000000"/>
                <w:kern w:val="0"/>
                <w:sz w:val="22"/>
              </w:rPr>
            </w:pPr>
          </w:p>
        </w:tc>
        <w:tc>
          <w:tcPr>
            <w:tcW w:w="5301" w:type="dxa"/>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gridSpan w:val="2"/>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vMerge w:val="continue"/>
            <w:vAlign w:val="center"/>
          </w:tcPr>
          <w:p>
            <w:pPr>
              <w:widowControl/>
              <w:jc w:val="center"/>
              <w:rPr>
                <w:rFonts w:ascii="宋体" w:hAnsi="宋体" w:cs="宋体"/>
                <w:b/>
                <w:color w:val="000000"/>
                <w:kern w:val="0"/>
                <w:sz w:val="22"/>
              </w:rPr>
            </w:pPr>
          </w:p>
        </w:tc>
        <w:tc>
          <w:tcPr>
            <w:tcW w:w="1292"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707" w:type="dxa"/>
            <w:gridSpan w:val="2"/>
            <w:vMerge w:val="continue"/>
            <w:shd w:val="clear" w:color="auto" w:fill="auto"/>
            <w:vAlign w:val="center"/>
          </w:tcPr>
          <w:p>
            <w:pPr>
              <w:widowControl/>
              <w:jc w:val="left"/>
              <w:rPr>
                <w:rFonts w:ascii="宋体" w:hAnsi="宋体" w:cs="宋体"/>
                <w:color w:val="000000"/>
                <w:kern w:val="0"/>
                <w:szCs w:val="21"/>
              </w:rPr>
            </w:pPr>
          </w:p>
        </w:tc>
        <w:tc>
          <w:tcPr>
            <w:tcW w:w="5301"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292"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635.66</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635.66</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笔记本电脑</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柜式空调</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挂式空调</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电视机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A3打印机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净水机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碎纸机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高拍仪</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摄像机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照相机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暗访隐藏式摄像机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彩色打印复印一体机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个人防辐射剂量计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更新防火墙</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办公主楼更换窗户</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3.12</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3.12</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卫生间地面防水</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1.32</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1.32</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更换卫生间门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0.38</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0.38</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更换铁艺护栏</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1.04</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1.04</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院墙修缮</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办公楼内外墙粉刷</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办公楼副楼吊顶</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赴日研修</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局机关培训</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2110104</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新环保法及相关法律宣传</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2110104</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资料室报刊杂志订阅</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2110104</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法律服务费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2110104</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环境宣传教育</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印制环境状况公报</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审批大厅许可证印刷费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印刷唐山市水污染防治工作手册</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专项调研报告数及档案印刷</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环境保护监督、检查专项经费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机动车尾气监测设备车运行维护费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补充环保研究所经费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物业费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省以上专项资金评审费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矿山深度治理验收经费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后勤保障临时人员工资</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污染举报奖</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“生态环境建设面对面”引入社会监督机构参与监督工作</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2110107</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环境保护行政许可保障经费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2110199</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其他环境保护管理事务保障经费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2110306</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核辐射与安全监督</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25"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9"/>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626002唐山市环境保护局</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26"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9"/>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626002唐山市环境保护局</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行政机关</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艘</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3700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27"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唐山市环境保护局收支预算说明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r>
        <w:rPr>
          <w:rFonts w:hint="eastAsia"/>
        </w:rPr>
        <w:t>103029999其他专项收入（排污权交易出让金），年初预算收入600万元。</w:t>
      </w:r>
    </w:p>
    <w:p>
      <w:r>
        <w:rPr>
          <w:rFonts w:hint="eastAsia"/>
        </w:rPr>
        <w:t>103050199罚没收入，年初预算650万元。</w:t>
      </w:r>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9"/>
        <w:tblW w:w="14174" w:type="dxa"/>
        <w:jc w:val="center"/>
        <w:tblInd w:w="-23"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626002唐山市环境保护局</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635.66</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62600217GGZ0001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笔记本电脑</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为局机关购置笔记本电脑</w:t>
            </w:r>
            <w:r>
              <w:rPr>
                <w:rFonts w:ascii="宋体" w:hAnsi="宋体" w:cs="宋体"/>
                <w:color w:val="000000"/>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62600217GGZ0002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柜式空调</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为食堂、档案室等购置柜机空调</w:t>
            </w:r>
            <w:r>
              <w:rPr>
                <w:rFonts w:ascii="宋体" w:hAnsi="宋体" w:cs="宋体"/>
                <w:color w:val="000000"/>
                <w:kern w:val="0"/>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62600217GGZ0003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挂式空调</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为机关处室更换挂式空调</w:t>
            </w:r>
            <w:r>
              <w:rPr>
                <w:rFonts w:ascii="宋体" w:hAnsi="宋体" w:cs="宋体"/>
                <w:color w:val="000000"/>
                <w:kern w:val="0"/>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62600217GGZ0004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电视机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为机关值班室更换电视机</w:t>
            </w:r>
            <w:r>
              <w:rPr>
                <w:rFonts w:ascii="宋体" w:hAnsi="宋体" w:cs="宋体"/>
                <w:color w:val="000000"/>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62600217GGZ0005</w:t>
            </w:r>
          </w:p>
        </w:tc>
        <w:tc>
          <w:tcPr>
            <w:tcW w:w="226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A3打印机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为机关财务室更换</w:t>
            </w:r>
            <w:r>
              <w:rPr>
                <w:rFonts w:ascii="宋体" w:hAnsi="宋体" w:cs="宋体"/>
                <w:color w:val="000000"/>
                <w:kern w:val="0"/>
                <w:szCs w:val="21"/>
              </w:rPr>
              <w:t>A3打印机1台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62600217GGZ0006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净水机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为局机关工作人员及电视电话会议参会人员购置净水机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62600217GGZ0007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碎纸机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为审批大厅购买碎纸机，用于粉碎废弃材料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62600217GGZ0008</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高拍仪</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为审批大厅购买专门扫描审批等许可证的高拍仪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62600217GGZ0009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摄像机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根据纪委要求，为监察室明察暗访及办案购买摄像机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62600217GGZ0010</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照相机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根据纪委要求，为监察室明察暗访及办案购买摄像机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62600217GGZ0011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暗访隐藏式摄像机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根据纪委要求，为监察室明察暗访及办案购买暗访隐藏摄像机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62600217GGZ0012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为机关购置</w:t>
            </w:r>
            <w:r>
              <w:rPr>
                <w:rFonts w:ascii="宋体" w:hAnsi="宋体" w:cs="宋体"/>
                <w:color w:val="000000"/>
                <w:kern w:val="0"/>
                <w:szCs w:val="21"/>
              </w:rPr>
              <w:t>A4多功能一体机一台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62600217GGZ0013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彩色打印复印一体机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根据工作需要，为机关单位配置人事档案资料打印复印彩色一体机。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62600217GGZ0014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个人防辐射剂量计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为审批处去辐射现场检查配置个人防辐射用剂量计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62600217GGZ0045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更新防火墙</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现有防火墙已经老化，不能满足机动车污染监管平台性能要求，购买</w:t>
            </w:r>
            <w:r>
              <w:rPr>
                <w:rFonts w:ascii="宋体" w:hAnsi="宋体" w:cs="宋体"/>
                <w:color w:val="000000"/>
                <w:kern w:val="0"/>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62600217GXS0021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办公主楼更换窗户</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3.12</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办公主楼两侧窗户因老化需要更换部分办公室窗户。更换</w:t>
            </w:r>
            <w:r>
              <w:rPr>
                <w:rFonts w:ascii="宋体" w:hAnsi="宋体" w:cs="宋体"/>
                <w:color w:val="000000"/>
                <w:kern w:val="0"/>
                <w:szCs w:val="21"/>
              </w:rPr>
              <w:t>50平方米断桥铝窗户，650元/平方米。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62600217GXS0022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卫生间地面防水</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1.32</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办公楼主楼因卫生间出现大面积渗漏现象，需要做防水，避免渗漏。</w:t>
            </w:r>
            <w:r>
              <w:rPr>
                <w:rFonts w:ascii="宋体" w:hAnsi="宋体" w:cs="宋体"/>
                <w:color w:val="000000"/>
                <w:kern w:val="0"/>
                <w:szCs w:val="21"/>
              </w:rPr>
              <w:t>220平方米需要做地面及屋顶防水，60元/平方米。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62600217GXS0023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更换卫生间门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0.38</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办公主楼卫生间较为潮湿，部分门出现了变现及爆皮老化现象，无法正常使用，需更换。需要更换</w:t>
            </w:r>
            <w:r>
              <w:rPr>
                <w:rFonts w:ascii="宋体" w:hAnsi="宋体" w:cs="宋体"/>
                <w:color w:val="000000"/>
                <w:kern w:val="0"/>
                <w:szCs w:val="21"/>
              </w:rPr>
              <w:t>4扇实木门，950元/扇。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62600217GXS0024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更换铁艺护栏</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1.04</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我局北侧外墙铁艺护栏需更换。</w:t>
            </w:r>
            <w:r>
              <w:rPr>
                <w:rFonts w:ascii="宋体" w:hAnsi="宋体" w:cs="宋体"/>
                <w:color w:val="000000"/>
                <w:kern w:val="0"/>
                <w:szCs w:val="21"/>
              </w:rPr>
              <w:t>580元/米，需更换18米。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62600217GXS0025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院墙修缮</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对我局北侧部分院墙从新修葺砖墙</w:t>
            </w:r>
            <w:r>
              <w:rPr>
                <w:rFonts w:ascii="宋体" w:hAnsi="宋体" w:cs="宋体"/>
                <w:color w:val="000000"/>
                <w:kern w:val="0"/>
                <w:szCs w:val="21"/>
              </w:rPr>
              <w:t>18米，90元/米，共1620元；</w:t>
            </w:r>
          </w:p>
          <w:p>
            <w:pPr>
              <w:widowControl/>
              <w:jc w:val="left"/>
              <w:rPr>
                <w:rFonts w:ascii="宋体" w:hAnsi="宋体" w:cs="宋体"/>
                <w:color w:val="000000"/>
                <w:kern w:val="0"/>
                <w:szCs w:val="21"/>
              </w:rPr>
            </w:pPr>
            <w:r>
              <w:rPr>
                <w:rFonts w:hint="eastAsia" w:ascii="宋体" w:hAnsi="宋体" w:cs="宋体"/>
                <w:color w:val="000000"/>
                <w:kern w:val="0"/>
                <w:szCs w:val="21"/>
              </w:rPr>
              <w:t>对我局北侧部分外墙墙体进行镶砖</w:t>
            </w:r>
            <w:r>
              <w:rPr>
                <w:rFonts w:ascii="宋体" w:hAnsi="宋体" w:cs="宋体"/>
                <w:color w:val="000000"/>
                <w:kern w:val="0"/>
                <w:szCs w:val="21"/>
              </w:rPr>
              <w:t>18米，60元/米，共1080元。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62600217GXS0026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办公楼内外墙粉刷</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对办公楼内外墙进行粉刷，共</w:t>
            </w:r>
            <w:r>
              <w:rPr>
                <w:rFonts w:ascii="宋体" w:hAnsi="宋体" w:cs="宋体"/>
                <w:color w:val="000000"/>
                <w:kern w:val="0"/>
                <w:szCs w:val="21"/>
              </w:rPr>
              <w:t>360平方米，32元/平方米。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62600217GXS0027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办公楼副楼吊顶</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办公楼副楼操作间顶面多处脱落，需要进行吊顶工程，共</w:t>
            </w:r>
            <w:r>
              <w:rPr>
                <w:rFonts w:ascii="宋体" w:hAnsi="宋体" w:cs="宋体"/>
                <w:color w:val="000000"/>
                <w:kern w:val="0"/>
                <w:szCs w:val="21"/>
              </w:rPr>
              <w:t>96平方米，260元/平方米。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62600217GDY0017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赴日研修</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根据唐山市与日本北九州市签订的合作备忘录，我局需要派</w:t>
            </w:r>
            <w:r>
              <w:rPr>
                <w:rFonts w:ascii="宋体" w:hAnsi="宋体" w:cs="宋体"/>
                <w:color w:val="000000"/>
                <w:kern w:val="0"/>
                <w:szCs w:val="21"/>
              </w:rPr>
              <w:t>2批人员赴日研修。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62600217GPX0036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局机关培训</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1、辐射法律、政策及监管工作重点培训，对全市环保系统辐射监管人员、重点辐射工作单位管理人员进行培训，每次60人，培训1次，10000元。</w:t>
            </w:r>
          </w:p>
          <w:p>
            <w:pPr>
              <w:widowControl/>
              <w:jc w:val="left"/>
              <w:rPr>
                <w:rFonts w:ascii="宋体" w:hAnsi="宋体" w:cs="宋体"/>
                <w:color w:val="000000"/>
                <w:kern w:val="0"/>
                <w:szCs w:val="21"/>
              </w:rPr>
            </w:pPr>
            <w:r>
              <w:rPr>
                <w:rFonts w:ascii="宋体" w:hAnsi="宋体" w:cs="宋体"/>
                <w:color w:val="000000"/>
                <w:kern w:val="0"/>
                <w:szCs w:val="21"/>
              </w:rPr>
              <w:t>2、法律法规培训，对全市环保执法人员最新政策法规进行业务知识培训，每次200人，培训2次，40000元。</w:t>
            </w:r>
          </w:p>
          <w:p>
            <w:pPr>
              <w:widowControl/>
              <w:jc w:val="left"/>
              <w:rPr>
                <w:rFonts w:ascii="宋体" w:hAnsi="宋体" w:cs="宋体"/>
                <w:color w:val="000000"/>
                <w:kern w:val="0"/>
                <w:szCs w:val="21"/>
              </w:rPr>
            </w:pPr>
            <w:r>
              <w:rPr>
                <w:rFonts w:ascii="宋体" w:hAnsi="宋体" w:cs="宋体"/>
                <w:color w:val="000000"/>
                <w:kern w:val="0"/>
                <w:szCs w:val="21"/>
              </w:rPr>
              <w:t>3、全市机动车污染防治监管人员业务培训，对全市机动车污染监管人员进行业务知识和路上执法培训，每次200人，培训1次，50000元。</w:t>
            </w:r>
          </w:p>
          <w:p>
            <w:pPr>
              <w:widowControl/>
              <w:jc w:val="left"/>
              <w:rPr>
                <w:rFonts w:ascii="宋体" w:hAnsi="宋体" w:cs="宋体"/>
                <w:color w:val="000000"/>
                <w:kern w:val="0"/>
                <w:szCs w:val="21"/>
              </w:rPr>
            </w:pPr>
            <w:r>
              <w:rPr>
                <w:rFonts w:ascii="宋体" w:hAnsi="宋体" w:cs="宋体"/>
                <w:color w:val="000000"/>
                <w:kern w:val="0"/>
                <w:szCs w:val="21"/>
              </w:rPr>
              <w:t>4、饮用水水源保护工作培训，对全市环保系统工作人员进行全市引用水源保护相关法律法规、技术规范政策要求等进行培训，每次80人，培训1次，10000元。</w:t>
            </w:r>
          </w:p>
          <w:p>
            <w:pPr>
              <w:widowControl/>
              <w:jc w:val="left"/>
              <w:rPr>
                <w:rFonts w:ascii="宋体" w:hAnsi="宋体" w:cs="宋体"/>
                <w:color w:val="000000"/>
                <w:kern w:val="0"/>
                <w:szCs w:val="21"/>
              </w:rPr>
            </w:pPr>
            <w:r>
              <w:rPr>
                <w:rFonts w:ascii="宋体" w:hAnsi="宋体" w:cs="宋体"/>
                <w:color w:val="000000"/>
                <w:kern w:val="0"/>
                <w:szCs w:val="21"/>
              </w:rPr>
              <w:t>5、土壤污染防治培训，对全市环保系统相关工作人员进行土壤防治政策解读，全市土壤防治工作方案的编制及相关工作进行培训，每次80人，培训1次，10000元。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62600217GXC0029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新环保法及相关法律宣传</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预计《中华人民共和国水污染防治法》将于</w:t>
            </w:r>
            <w:r>
              <w:rPr>
                <w:rFonts w:ascii="宋体" w:hAnsi="宋体" w:cs="宋体"/>
                <w:color w:val="000000"/>
                <w:kern w:val="0"/>
                <w:szCs w:val="21"/>
              </w:rPr>
              <w:t>2017年进行修订，鉴于2015年新《中华人民共和国环境保护法》和2016年新《中华人民共和国大气污染防治法》、《河北省大气污染防治条例》出台后我局制作播出的新法公益宣传片起到了良好的宣传效果，拟定新水法出台后继续与唐山电视台合作制作新法及相关法律法规电视宣传片，并在其频道的黄金时段进行播出。新法公益宣传片制作数量和时长将按新法的特点和亮点具体拟定，总时长控制在250秒以内，宣传片制作费用25万，播出费用按半年计为25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62600217GXC0030</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资料室报刊杂志订阅</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w:t>
            </w:r>
            <w:r>
              <w:rPr>
                <w:rFonts w:ascii="宋体" w:hAnsi="宋体" w:cs="宋体"/>
                <w:color w:val="000000"/>
                <w:kern w:val="0"/>
                <w:szCs w:val="21"/>
              </w:rPr>
              <w:t>2018年度《中国环境报》和资料室的报刊杂志订阅。其中给市领导、市直各相关部门和市局各处室订阅《中国环境报》约150份左右，每份390元，总计费用约60000元左右；为市局各处室征订《新环境》（原《环境经济》环保工作资料选）及市局资料室环境保护类相关专业杂志，约40000元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62600217GXC0031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法律服务费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用于聘请法律顾问费用和相关诉讼费用。法律顾问制度是提高依法行政水平、建设法治政府的迫切需要，对于政府部门科学决策、依法决策、依法行政意义重大。聘请法律顾问费用</w:t>
            </w:r>
            <w:r>
              <w:rPr>
                <w:rFonts w:ascii="宋体" w:hAnsi="宋体" w:cs="宋体"/>
                <w:color w:val="000000"/>
                <w:kern w:val="0"/>
                <w:szCs w:val="21"/>
              </w:rPr>
              <w:t>9.5万元，相关诉讼费用等5.5万元。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62600217GXC0032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环境宣传教育</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用于支付“环境日”期间纪念活动、环保宣传品制作和环保知识竞赛、环保公益活动、环保志愿服务，以及法制宣传日等环境宣传教育费用。具体活动将围绕明年国家发布的</w:t>
            </w:r>
            <w:r>
              <w:rPr>
                <w:rFonts w:ascii="宋体" w:hAnsi="宋体" w:cs="宋体"/>
                <w:color w:val="000000"/>
                <w:kern w:val="0"/>
                <w:szCs w:val="21"/>
              </w:rPr>
              <w:t>2017年“环境日”、“法制日”主题进行安排。</w:t>
            </w:r>
          </w:p>
          <w:p>
            <w:pPr>
              <w:widowControl/>
              <w:jc w:val="left"/>
              <w:rPr>
                <w:rFonts w:ascii="宋体" w:hAnsi="宋体" w:cs="宋体"/>
                <w:color w:val="000000"/>
                <w:kern w:val="0"/>
                <w:szCs w:val="21"/>
              </w:rPr>
            </w:pPr>
            <w:r>
              <w:rPr>
                <w:rFonts w:hint="eastAsia" w:ascii="宋体" w:hAnsi="宋体" w:cs="宋体"/>
                <w:color w:val="000000"/>
                <w:kern w:val="0"/>
                <w:szCs w:val="21"/>
              </w:rPr>
              <w:t>其中办公费</w:t>
            </w:r>
            <w:r>
              <w:rPr>
                <w:rFonts w:ascii="宋体" w:hAnsi="宋体" w:cs="宋体"/>
                <w:color w:val="000000"/>
                <w:kern w:val="0"/>
                <w:szCs w:val="21"/>
              </w:rPr>
              <w:t>10万，印刷费6万，差旅费10万，其他交通费用4万。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62600217GYS0019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印制环境状况公报</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综计处负责印刷年度环境质量公报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62600217GYS0020</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审批大厅许可证印刷费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审批大厅每年需印刷：排污许可证、辐射安全许可证等所需费用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62600217GYS0034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印刷唐山市水污染防治工作手册</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印刷唐山市水污染防治工作手册约</w:t>
            </w:r>
            <w:r>
              <w:rPr>
                <w:rFonts w:ascii="宋体" w:hAnsi="宋体" w:cs="宋体"/>
                <w:color w:val="000000"/>
                <w:kern w:val="0"/>
                <w:szCs w:val="21"/>
              </w:rPr>
              <w:t>500余本，编辑排版费、印刷费、装订费共计5万元。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62600217GYS0039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专项调研报告数及档案印刷</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用于环境质量状况报告、环境保护规划完成情况报告书、减排档案、城考档案、污染源普查总结报告以及处罚档案的印刷制作。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62600217GZX0015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物业费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环保局办公楼物业服务管理费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62600217GZX0016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省以上专项资金评审费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每年对省以上专项资金项目组织现场和材料审核，需邀请相关专家（包括：大气、水、土壤等相关领域）进行评审，所需要费用。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62600217GZX0035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矿山深度治理验收经费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按照市政府《关于印发唐山市露天非金属矿山环境深度整治实施方案的通知》（唐政字【</w:t>
            </w:r>
            <w:r>
              <w:rPr>
                <w:rFonts w:ascii="宋体" w:hAnsi="宋体" w:cs="宋体"/>
                <w:color w:val="000000"/>
                <w:kern w:val="0"/>
                <w:szCs w:val="21"/>
              </w:rPr>
              <w:t>2016】94号）的要求，需对50家企业聘请专家进行矿山深度治理验收，每家企业需专家3人，每人专家费1000元，预计共需要专家经费15万元。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62600217GZX0040</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后勤保障临时人员工资</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用于支付负责档案整理、文件复印人员全年工资，按照唐山市最低工资标准你，工资每人每月</w:t>
            </w:r>
            <w:r>
              <w:rPr>
                <w:rFonts w:ascii="宋体" w:hAnsi="宋体" w:cs="宋体"/>
                <w:color w:val="000000"/>
                <w:kern w:val="0"/>
                <w:szCs w:val="21"/>
              </w:rPr>
              <w:t>1500元，养老保障部分人员每月600元。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62600217GZX0041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污染举报奖</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为了严厉打击环境违法行为，完善监管机制，在加大巡查力度的基础上，要继续畅通环保</w:t>
            </w:r>
            <w:r>
              <w:rPr>
                <w:rFonts w:ascii="宋体" w:hAnsi="宋体" w:cs="宋体"/>
                <w:color w:val="000000"/>
                <w:kern w:val="0"/>
                <w:szCs w:val="21"/>
              </w:rPr>
              <w:t>12369环保举报电话，落实有奖举报制度。群众举报是发现环境违法行为的重要渠道，举报线索经核查属实后对举报人予以一定奖励，此项制度将会更好的调动广大群众关注环境、举报违法的积极性。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62600217GZX0042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环境保护行政许可保障经费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保护行政许可包含建设项目环境影响评价审批、排污许可、危险废物经营许可等多种行政许可管理项目，是我局重要的工作组成部分，为了提高服务水平，助推经济发展，给广大市民营造良好的行政审批环境，我局将在今年开展专项活动，提高审批效能，缩短审批时间。该项目包含：</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1）办公费10万元，用于排污许可证，危险废物经营许可证专用纸张购买，报刊杂志的购买和《环保行政许可法规手册》的购买；</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2）差旅费9万元，用于支付行政审批人员出差参加环保部、环保厅组织的环境保护行政审批培训和会议的住宿费、旅费、伙食补助等费用以及赴省厅</w:t>
            </w:r>
            <w:r>
              <w:rPr>
                <w:rFonts w:hint="eastAsia" w:ascii="宋体" w:hAnsi="宋体" w:cs="宋体"/>
                <w:color w:val="000000"/>
                <w:kern w:val="0"/>
                <w:szCs w:val="21"/>
              </w:rPr>
              <w:t>申报重点项目审批的各项费用；</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3）邮电费3万元，用于支付开展网上审批项目的网络服务费，通讯服务费以及日常电话费，传真费和文件邮递等费用；</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4）手续费1万元，用于每年交付环保厅排污许可证手续费。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62600217GZX0043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其他环境保护管理事务保障经费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了合理规划建设项目，确保在建项目符合环境保护法律法规，产业政策以及相关技术规范，为了防止建设项目产生新的污染、破坏生态环境，为了贯彻环保厅和环保部的相关要求，我局将在明年加强对建设项目“三同时”的监理和验收，加大环评审批力度，保证在建项目合法合规。该项目包含：</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1）办公费5万元，用于明年更换打印机墨盒和硒鼓以及专业书籍的购买；</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2）其他商品和服务3万元，用于购买现场监理、勘查和验收所需的安全设备，防护装置等其他商品和服务费用；</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4）邮电费4万元，用于支付建设项目审批验收过程中产生的邮递费、传真费、</w:t>
            </w:r>
            <w:r>
              <w:rPr>
                <w:rFonts w:hint="eastAsia" w:ascii="宋体" w:hAnsi="宋体" w:cs="宋体"/>
                <w:color w:val="000000"/>
                <w:kern w:val="0"/>
                <w:szCs w:val="21"/>
              </w:rPr>
              <w:t>网络通讯服务费等费用。</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5）差旅费5万元，用于支付参加国家、省组织的建设项目环评审批会议，环评审批培训的各项费用。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62600217GZX0044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核辐射与安全监督</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局承担着全市各类危险废物处置、放射源管理应急物资的准备、人员调度指挥及危险品转移工作，负责辐射放射性物质的安全与监管。为了做好核设施核安全、辐射安全及辐射环境保护工作的统一监督管理工作，设定此项目，其中包含：</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1）邮电费1万元，用于支付核与辐射安全监管工作过程中的文件邮递费，传真费，通讯服务费等费用；</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2）差旅费6万元，计划参加国家、省组织的辐射安全与防护培训以及其他培训和会议；</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3）其他交通费6万元；用于危险废物处理过程中所需检测车辆，应急处理车辆的日常维护和保养；</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4）办公费2万元，用于核辐</w:t>
            </w:r>
            <w:r>
              <w:rPr>
                <w:rFonts w:hint="eastAsia" w:ascii="宋体" w:hAnsi="宋体" w:cs="宋体"/>
                <w:color w:val="000000"/>
                <w:kern w:val="0"/>
                <w:szCs w:val="21"/>
              </w:rPr>
              <w:t>射安全管理专用书籍购买；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62600217GZX0046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环境保护监督、检查专项经费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包含污染减排现场核查、省达目标考核、污染防治规划现场核查、钢铁项目核查等国家、省检查督导、考核经费。</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1）污染减排现场核查。根据环保部统一安排，每半年对各市污染减排情况进行核查，内容包括资料核查和现场核查，核查组成员由环保部和省环保厅及相关专家组成，人数约20人，每次核查时间为半个月左右。</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省达目标考核。根据省委干部考核要求，环保指标作为一票否决指标，是每年省委对各地市必须考核的内容。省达目标考核分为预考核和年终考核两次进行。内容包括资料考核和现场核查，考核组成员由省环境保护领导小组成员单位人员及</w:t>
            </w:r>
            <w:r>
              <w:rPr>
                <w:rFonts w:hint="eastAsia" w:ascii="宋体" w:hAnsi="宋体" w:cs="宋体"/>
                <w:color w:val="000000"/>
                <w:kern w:val="0"/>
                <w:szCs w:val="21"/>
              </w:rPr>
              <w:t>相关专家组成，人数约</w:t>
            </w:r>
            <w:r>
              <w:rPr>
                <w:rFonts w:ascii="宋体" w:hAnsi="宋体" w:cs="宋体"/>
                <w:color w:val="000000"/>
                <w:kern w:val="0"/>
                <w:szCs w:val="21"/>
              </w:rPr>
              <w:t>20人，每次核查时间为半个月左右。</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减排工程运行情况专项检查。根据国家相关环境保护规划和国家、省重点工作安排，环保部、省环保厅将定期开展流域水污染防治规划考核、违法建设项目专项核查、城市定量指标考核、环境监管监测标准化验收、应急能力考核、危险废弃物处理情况检查、放射源环境监管等多项考核，每项考核分为现场和资料考核两部分，计划接待考核组200多人/次；</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 省检查督导及大型会议。为有效推进治污减排、达标企业建设、重点流域区域治理、饮用水源地保护等重点工作的开展，2017年计划召</w:t>
            </w:r>
            <w:r>
              <w:rPr>
                <w:rFonts w:hint="eastAsia" w:ascii="宋体" w:hAnsi="宋体" w:cs="宋体"/>
                <w:color w:val="000000"/>
                <w:kern w:val="0"/>
                <w:szCs w:val="21"/>
              </w:rPr>
              <w:t>开全市环保工作会议、治污减排调度会议、全市执法监察工作会议、农村畜禽养殖环境治理工作会议、达标企业建设现场会、重点区域环评评审会、省环保工作目标考核会议等多项大型会议。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62600217GZX0047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“生态环境建设面对面”引入社会监督机构参与监督工作</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照市领导安排，参照议作风面对面模式，环保机构面临垂直管理改革，改革后各县（市、区）环保局均为市局分局，现有纪检监察力量不能满足垂直管理改革后对全部环保系统机关作风和纪律的监督，聘请社会监督机构对全市环保系统作风纪律执行情况进行明察暗访，可有力弥补纪检监察力量不足问题，促进全市环保系统作风建设，促进履职尽责以及服务经济发展能力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62600217GZX0048</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机动车尾气监测设备车运行维护费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开展路上执法监测及日常维护、保养所需费用。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62600217GZX0049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补充环保研究所经费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唐山市环境保护研究所为我局直属自收自支事业单位（公益</w:t>
            </w:r>
            <w:r>
              <w:rPr>
                <w:rFonts w:ascii="宋体" w:hAnsi="宋体" w:cs="宋体"/>
                <w:color w:val="000000"/>
                <w:kern w:val="0"/>
                <w:szCs w:val="21"/>
              </w:rPr>
              <w:t>2类），主要承担环保研究工作。我所核定编制8名，在编8人，聘用人事代理人员27人。研究所承担的环评业务工作已于2016年6月30日前完成脱钩，目前经费来源为通过招投标所承接的环保科研课题取得的收入，已无法保障人员和工作经费支出。我局于2016年2月向市政府上报了《关于解决唐山市环境保护研究所人员经费的请示》，市领导已经同意给予支持。</w:t>
            </w:r>
          </w:p>
          <w:p>
            <w:pPr>
              <w:widowControl/>
              <w:jc w:val="left"/>
              <w:rPr>
                <w:rFonts w:ascii="宋体" w:hAnsi="宋体" w:cs="宋体"/>
                <w:color w:val="000000"/>
                <w:kern w:val="0"/>
                <w:szCs w:val="21"/>
              </w:rPr>
            </w:pPr>
            <w:r>
              <w:rPr>
                <w:rFonts w:ascii="宋体" w:hAnsi="宋体" w:cs="宋体"/>
                <w:color w:val="000000"/>
                <w:kern w:val="0"/>
                <w:szCs w:val="21"/>
              </w:rPr>
              <w:t>2017年我研究所预计人员工资、保险支出240万元。</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28"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pStyle w:val="13"/>
        <w:numPr>
          <w:ilvl w:val="0"/>
          <w:numId w:val="3"/>
        </w:numPr>
        <w:ind w:firstLineChars="0"/>
        <w:rPr>
          <w:rFonts w:ascii="黑体" w:hAnsi="黑体" w:eastAsia="黑体"/>
          <w:sz w:val="32"/>
          <w:szCs w:val="32"/>
        </w:rPr>
      </w:pPr>
      <w:r>
        <w:rPr>
          <w:rFonts w:hint="eastAsia" w:ascii="黑体" w:hAnsi="黑体" w:eastAsia="黑体"/>
          <w:sz w:val="32"/>
          <w:szCs w:val="32"/>
        </w:rPr>
        <w:t>环境监察与检测项目预算1388万元</w:t>
      </w:r>
    </w:p>
    <w:p>
      <w:pPr>
        <w:ind w:firstLine="640" w:firstLineChars="200"/>
        <w:rPr>
          <w:sz w:val="32"/>
          <w:szCs w:val="32"/>
        </w:rPr>
      </w:pPr>
      <w:r>
        <w:rPr>
          <w:rFonts w:hint="eastAsia"/>
          <w:sz w:val="32"/>
          <w:szCs w:val="32"/>
        </w:rPr>
        <w:t>1、环境监测与信息972万元：①、建设项目竣工环境保护验收监测200万；②、工况监控系统运行维护费用115万元，用于况监控系统环保局中心端平台维护费、企业端156个子系统维护费107.6万元，2017年通讯费用6.6万元。③、环保指挥系统提升改造项目96万元（2016年项目中标价485万元，尾款48.5万元尾款，以及项目内容增加，追加资金47万元）；④、视频监控系统升级高清项目14万元；⑤、重点企业监测服务101万元；⑥、唐山市环境服务业务统计服务10万；⑦、系统运行维护费436万：包括⑴陡河水库水质在线生物毒性预警系统65万⑵空气自动监测子站运行维护费255万元⑶唐山市空气质量预报预警系统运行维护25万元；⑷陡河水库预警系统运营维护16万⑸视频监控光纤费用57万元⑹互联网光纤费用16万元。⑺唐山市空气质量发布系统运行维护2万元；</w:t>
      </w:r>
    </w:p>
    <w:p>
      <w:pPr>
        <w:ind w:firstLine="640" w:firstLineChars="200"/>
        <w:rPr>
          <w:sz w:val="32"/>
          <w:szCs w:val="32"/>
        </w:rPr>
      </w:pPr>
      <w:r>
        <w:rPr>
          <w:rFonts w:hint="eastAsia"/>
          <w:sz w:val="32"/>
          <w:szCs w:val="32"/>
        </w:rPr>
        <w:t>2、环境监察与督查344万元：①环境监察能力建设项目285万元②无人机航拍服务50元③远程执法抽查检测9万元；</w:t>
      </w:r>
    </w:p>
    <w:p>
      <w:pPr>
        <w:ind w:firstLine="640" w:firstLineChars="200"/>
        <w:rPr>
          <w:sz w:val="32"/>
          <w:szCs w:val="32"/>
        </w:rPr>
      </w:pPr>
      <w:r>
        <w:rPr>
          <w:rFonts w:hint="eastAsia"/>
          <w:sz w:val="32"/>
          <w:szCs w:val="32"/>
        </w:rPr>
        <w:t>3、环境安全与应急处理40万元：①《唐山市重污染天气应急预案》修编20万元；②《唐山市突发环境事件应急预案》修编20万元。</w:t>
      </w:r>
    </w:p>
    <w:p>
      <w:pPr>
        <w:ind w:firstLine="640" w:firstLineChars="200"/>
        <w:rPr>
          <w:sz w:val="32"/>
          <w:szCs w:val="32"/>
        </w:rPr>
      </w:pPr>
      <w:r>
        <w:rPr>
          <w:rFonts w:hint="eastAsia"/>
          <w:sz w:val="32"/>
          <w:szCs w:val="32"/>
        </w:rPr>
        <w:t>4、核与辐射安全监管32万元：购买电磁辐射分析仪32万元，用于提高日常监管能力，处理逐年上升的电磁辐射信访案件。</w:t>
      </w:r>
    </w:p>
    <w:p>
      <w:pPr>
        <w:pStyle w:val="13"/>
        <w:numPr>
          <w:ilvl w:val="0"/>
          <w:numId w:val="3"/>
        </w:numPr>
        <w:ind w:firstLineChars="0"/>
        <w:rPr>
          <w:rFonts w:ascii="黑体" w:hAnsi="黑体" w:eastAsia="黑体"/>
          <w:sz w:val="32"/>
          <w:szCs w:val="32"/>
        </w:rPr>
      </w:pPr>
      <w:r>
        <w:rPr>
          <w:rFonts w:hint="eastAsia" w:ascii="黑体" w:hAnsi="黑体" w:eastAsia="黑体"/>
          <w:sz w:val="32"/>
          <w:szCs w:val="32"/>
        </w:rPr>
        <w:t>水污染防治项目预算16669万元</w:t>
      </w:r>
    </w:p>
    <w:p>
      <w:pPr>
        <w:ind w:firstLine="640" w:firstLineChars="200"/>
        <w:rPr>
          <w:sz w:val="32"/>
          <w:szCs w:val="32"/>
        </w:rPr>
      </w:pPr>
      <w:r>
        <w:rPr>
          <w:rFonts w:hint="eastAsia"/>
          <w:sz w:val="32"/>
          <w:szCs w:val="32"/>
        </w:rPr>
        <w:t>1、邱庄水库水污染防治项目市财政拨款10000万元，主要用于水库网箱养鱼清理工作；</w:t>
      </w:r>
    </w:p>
    <w:p>
      <w:pPr>
        <w:ind w:firstLine="640" w:firstLineChars="200"/>
        <w:rPr>
          <w:sz w:val="32"/>
          <w:szCs w:val="32"/>
        </w:rPr>
      </w:pPr>
      <w:r>
        <w:rPr>
          <w:rFonts w:hint="eastAsia"/>
          <w:sz w:val="32"/>
          <w:szCs w:val="32"/>
        </w:rPr>
        <w:t>2、潘家口、大黑汀水库网箱养鱼取缔6000万元，根据省、市政府引滦流域水污染治理工作部署和省财政厅潘大水库网箱养鱼清理资金分配方案，潘家口、大黑汀水库网箱养鱼取缔资金62500万元，其中省级负担44100万元，市县负担18400万元。2017年从市级排污费收入中安排潘大水库网箱养鱼清理补助资金2500万，财政拨款安排3500万元；</w:t>
      </w:r>
    </w:p>
    <w:p>
      <w:pPr>
        <w:ind w:firstLine="640" w:firstLineChars="200"/>
        <w:rPr>
          <w:sz w:val="32"/>
          <w:szCs w:val="32"/>
        </w:rPr>
      </w:pPr>
      <w:r>
        <w:rPr>
          <w:rFonts w:hint="eastAsia"/>
          <w:sz w:val="32"/>
          <w:szCs w:val="32"/>
        </w:rPr>
        <w:t>3、引滦入唐流域污染源解析与富营养化成因分析130万，2016年项目中标价190万元，2017年尾款130万元，用于污染源调查、对陡河水库、邱庄水库及大黑汀水库水质及营养状态现状进行监测等；</w:t>
      </w:r>
    </w:p>
    <w:p>
      <w:pPr>
        <w:ind w:firstLine="640" w:firstLineChars="200"/>
        <w:rPr>
          <w:sz w:val="32"/>
          <w:szCs w:val="32"/>
        </w:rPr>
      </w:pPr>
      <w:r>
        <w:rPr>
          <w:rFonts w:hint="eastAsia"/>
          <w:sz w:val="32"/>
          <w:szCs w:val="32"/>
        </w:rPr>
        <w:t>4、唐山市水污染防治相关规划方案编制工作56万；</w:t>
      </w:r>
    </w:p>
    <w:p>
      <w:pPr>
        <w:ind w:firstLine="640" w:firstLineChars="200"/>
        <w:rPr>
          <w:sz w:val="32"/>
          <w:szCs w:val="32"/>
        </w:rPr>
      </w:pPr>
      <w:r>
        <w:rPr>
          <w:rFonts w:hint="eastAsia"/>
          <w:sz w:val="32"/>
          <w:szCs w:val="32"/>
        </w:rPr>
        <w:t>5、唐山市主要河流生态修复治理项目289万，2016年项目中标价378.26万元，2017年项目尾款289万元，继续完成滦河、陡河、还乡河、遵化境内沙河等河流生物修复治理；</w:t>
      </w:r>
    </w:p>
    <w:p>
      <w:pPr>
        <w:ind w:firstLine="640" w:firstLineChars="200"/>
        <w:rPr>
          <w:sz w:val="32"/>
          <w:szCs w:val="32"/>
        </w:rPr>
      </w:pPr>
      <w:r>
        <w:rPr>
          <w:rFonts w:hint="eastAsia"/>
          <w:sz w:val="32"/>
          <w:szCs w:val="32"/>
        </w:rPr>
        <w:t>6、集中式饮用水水源地基础调查与评估10万元；</w:t>
      </w:r>
    </w:p>
    <w:p>
      <w:pPr>
        <w:ind w:firstLine="640" w:firstLineChars="200"/>
        <w:rPr>
          <w:sz w:val="32"/>
          <w:szCs w:val="32"/>
        </w:rPr>
      </w:pPr>
      <w:r>
        <w:rPr>
          <w:rFonts w:hint="eastAsia"/>
          <w:sz w:val="32"/>
          <w:szCs w:val="32"/>
        </w:rPr>
        <w:t>7、唐山市地下水饮用水水源补给区环境状况调查40万元；</w:t>
      </w:r>
    </w:p>
    <w:p>
      <w:pPr>
        <w:ind w:firstLine="640" w:firstLineChars="200"/>
        <w:rPr>
          <w:sz w:val="32"/>
          <w:szCs w:val="32"/>
        </w:rPr>
      </w:pPr>
      <w:r>
        <w:rPr>
          <w:rFonts w:hint="eastAsia"/>
          <w:sz w:val="32"/>
          <w:szCs w:val="32"/>
        </w:rPr>
        <w:t>8、重点河流生物修复工程60万元（2017-2018年预计300万），用于投放微生物试剂，治理还乡河、遵化境内沙河、黎河、石榴河等河流，提高水体自我净化能力；</w:t>
      </w:r>
    </w:p>
    <w:p>
      <w:pPr>
        <w:ind w:firstLine="640" w:firstLineChars="200"/>
        <w:rPr>
          <w:sz w:val="32"/>
          <w:szCs w:val="32"/>
        </w:rPr>
      </w:pPr>
      <w:r>
        <w:rPr>
          <w:rFonts w:hint="eastAsia"/>
          <w:sz w:val="32"/>
          <w:szCs w:val="32"/>
        </w:rPr>
        <w:t>9、水源地保护区管理74万元：①集中式饮用水水源保护区规范管理55万，用于市区及县（市）城区集中式饮用水水源保护区勘界、规范集中式饮用水水源保护区标志牌和提示标识、设置界碑等。根据《唐山市水污染防治工作方案》（唐发【2016】6号）中的“规范集中式饮用水水源地建设”规定执行。②陡河水库饮用水源地保护区范围调整19万，2016年项目中标价27.5万元，2017年尾款19万元；</w:t>
      </w:r>
    </w:p>
    <w:p>
      <w:pPr>
        <w:ind w:firstLine="640" w:firstLineChars="200"/>
        <w:rPr>
          <w:sz w:val="32"/>
          <w:szCs w:val="32"/>
        </w:rPr>
      </w:pPr>
      <w:r>
        <w:rPr>
          <w:rFonts w:hint="eastAsia"/>
          <w:sz w:val="32"/>
          <w:szCs w:val="32"/>
        </w:rPr>
        <w:t>10、环境激素类化学品生产使用情况调查10万元，按照上级水污染防治工作要求，委托专业机构对水源地、农产品种植区及水产品集中养殖区的环境风险进行评估，建立激素类化学品生产和使用数据库，提出唐山市激素类化学品污染防控对策，提交全市激素类化学品生产使用情况进行调查报告；建立激素类化学品生产和使用数据库。</w:t>
      </w:r>
    </w:p>
    <w:p>
      <w:pPr>
        <w:pStyle w:val="13"/>
        <w:ind w:left="360" w:firstLine="0" w:firstLineChars="0"/>
        <w:rPr>
          <w:rFonts w:ascii="黑体" w:hAnsi="黑体" w:eastAsia="黑体"/>
          <w:sz w:val="32"/>
          <w:szCs w:val="32"/>
        </w:rPr>
      </w:pPr>
      <w:r>
        <w:rPr>
          <w:rFonts w:hint="eastAsia" w:ascii="黑体" w:hAnsi="黑体" w:eastAsia="黑体"/>
          <w:sz w:val="32"/>
          <w:szCs w:val="32"/>
        </w:rPr>
        <w:t>三、大气污染防治项目预算378万元</w:t>
      </w:r>
    </w:p>
    <w:p>
      <w:pPr>
        <w:ind w:firstLine="640" w:firstLineChars="200"/>
        <w:rPr>
          <w:sz w:val="32"/>
          <w:szCs w:val="32"/>
        </w:rPr>
      </w:pPr>
      <w:r>
        <w:rPr>
          <w:rFonts w:hint="eastAsia"/>
          <w:sz w:val="32"/>
          <w:szCs w:val="32"/>
        </w:rPr>
        <w:t>1、空气质量达标规划100万元，2017年-2018年两年项目，共500万元，2017年使用100万元。根据《中华人民共和国大气污染防治法》第十四条第一款规定：未达到国家大气环境质量标准城市的人民政府应当及时编制大气环境质量限期达标规划。委托专业机构编制我市空气质量限期达标规划；</w:t>
      </w:r>
    </w:p>
    <w:p>
      <w:pPr>
        <w:ind w:firstLine="640" w:firstLineChars="200"/>
        <w:rPr>
          <w:sz w:val="32"/>
          <w:szCs w:val="32"/>
        </w:rPr>
      </w:pPr>
      <w:r>
        <w:rPr>
          <w:rFonts w:hint="eastAsia"/>
          <w:sz w:val="32"/>
          <w:szCs w:val="32"/>
        </w:rPr>
        <w:t>2、机动车污染防治278万元，其中全市机动车污染监管平台运行维护60万、在用重型柴油车（含非道路移动机械）排放水平调查和治理对策研究和示范135万、机动车尾气遥感监测设备车尾款35万（2016年市环保局购车项目中标价230万元，2017年尾款35万元）、全市机动车污染监管平台二期与省对接硬件15万（2016年项目中标价30万元，2017年尾款15万） 、全市机动车污染监管平台网络运行费用24万、机动车污染防治政策法规立法体系研究9万。根据《中华人民共和国大气污染防治法》中机动车尾气污染的规定，加强机动车尾气污染防治工作。</w:t>
      </w:r>
    </w:p>
    <w:p>
      <w:pPr>
        <w:pStyle w:val="13"/>
        <w:numPr>
          <w:ilvl w:val="0"/>
          <w:numId w:val="4"/>
        </w:numPr>
        <w:ind w:firstLineChars="0"/>
        <w:rPr>
          <w:rFonts w:ascii="黑体" w:hAnsi="黑体" w:eastAsia="黑体"/>
          <w:sz w:val="32"/>
          <w:szCs w:val="32"/>
        </w:rPr>
      </w:pPr>
      <w:r>
        <w:rPr>
          <w:rFonts w:hint="eastAsia" w:ascii="黑体" w:hAnsi="黑体" w:eastAsia="黑体"/>
          <w:sz w:val="32"/>
          <w:szCs w:val="32"/>
        </w:rPr>
        <w:t>土壤污染防治项目预算300万元</w:t>
      </w:r>
    </w:p>
    <w:p>
      <w:pPr>
        <w:ind w:firstLine="640" w:firstLineChars="200"/>
        <w:rPr>
          <w:sz w:val="32"/>
          <w:szCs w:val="32"/>
        </w:rPr>
      </w:pPr>
      <w:r>
        <w:rPr>
          <w:rFonts w:hint="eastAsia"/>
          <w:sz w:val="32"/>
          <w:szCs w:val="32"/>
        </w:rPr>
        <w:t>1、唐山市化工集中区环境风险源调查与防范对策研究140万元，2016年项目中标价200万元，2017年尾款140万元。根据《生态文明体制改革总体方案》要求，结合唐山市环境风险源现状，开展唐山市化学工业园区环境风险源调查，对园区企业进行风险源调查；</w:t>
      </w:r>
    </w:p>
    <w:p>
      <w:pPr>
        <w:ind w:firstLine="640" w:firstLineChars="200"/>
        <w:rPr>
          <w:sz w:val="32"/>
          <w:szCs w:val="32"/>
        </w:rPr>
      </w:pPr>
      <w:r>
        <w:rPr>
          <w:rFonts w:hint="eastAsia"/>
          <w:sz w:val="32"/>
          <w:szCs w:val="32"/>
        </w:rPr>
        <w:t xml:space="preserve"> 2、唐山市土壤污染防治方案的制定10万，调查唐山市各县区影响农产品质量和人居环境安全的突发土壤污染问题，了解国内现行有效的土壤治理技术；编制唐山市土壤污染防治方案报告；</w:t>
      </w:r>
    </w:p>
    <w:p>
      <w:pPr>
        <w:ind w:firstLine="640" w:firstLineChars="200"/>
        <w:rPr>
          <w:sz w:val="32"/>
          <w:szCs w:val="32"/>
        </w:rPr>
      </w:pPr>
      <w:r>
        <w:rPr>
          <w:rFonts w:hint="eastAsia"/>
          <w:sz w:val="32"/>
          <w:szCs w:val="32"/>
        </w:rPr>
        <w:t>3、唐山市土壤环境质量详查150万元，2017-2019年期限共500万，2017年150万；根据国家《土壤污染防治计划》和《河北省土壤污染防治工作方案》，结合唐山实际情况，委托专业机构开展相关基础数据和资料的收集和基础况调查工作，掌握唐山市土壤环境方面存在的主要环境问题，制定唐山市土壤污染工作方案。</w:t>
      </w:r>
    </w:p>
    <w:p>
      <w:pPr>
        <w:rPr>
          <w:sz w:val="32"/>
          <w:szCs w:val="32"/>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6" w:name="_Toc476241468"/>
      <w:r>
        <w:t>二、唐山市环境监控指挥中心收支预算安排</w:t>
      </w:r>
      <w:bookmarkEnd w:id="16"/>
    </w:p>
    <w:p>
      <w:pPr>
        <w:jc w:val="center"/>
        <w:rPr>
          <w:rFonts w:ascii="宋体" w:hAnsi="宋体" w:eastAsia="宋体"/>
          <w:b/>
          <w:color w:val="000000"/>
          <w:sz w:val="44"/>
        </w:rPr>
      </w:pPr>
      <w:r>
        <w:rPr>
          <w:rFonts w:hint="eastAsia" w:ascii="宋体" w:hAnsi="宋体" w:eastAsia="宋体"/>
          <w:b/>
          <w:color w:val="000000"/>
          <w:sz w:val="44"/>
        </w:rPr>
        <w:t>唐山市环境监控指挥中心职责任务与目标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spacing w:line="360" w:lineRule="auto"/>
        <w:jc w:val="left"/>
        <w:rPr>
          <w:rFonts w:ascii="宋体" w:hAnsi="宋体"/>
          <w:szCs w:val="21"/>
        </w:rPr>
      </w:pPr>
      <w:r>
        <w:rPr>
          <w:rFonts w:hint="eastAsia" w:ascii="宋体" w:hAnsi="宋体"/>
          <w:szCs w:val="21"/>
        </w:rPr>
        <w:t xml:space="preserve">    负责国控、省控重点污染源在线监测联网、监控，对超标和异常数据进行监督检查；负责全市环境应急联动指挥系统的运行和管理，负责全市饮用水水源地陡河水库水质监测系统的运行和维护；负责大气黑度视频监控系统的日常运行和维护；负责重点污染源在线监测设备第三方运营商的管理和考核；负责局网站、局机关自动化系统的运行和管理；负责全市环境信息系统的建设、运行和管理等。</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numPr>
          <w:ilvl w:val="0"/>
          <w:numId w:val="5"/>
        </w:numPr>
        <w:spacing w:line="360" w:lineRule="auto"/>
        <w:ind w:firstLine="420" w:firstLineChars="200"/>
        <w:rPr>
          <w:rFonts w:ascii="宋体" w:hAnsi="宋体" w:cs="仿宋"/>
          <w:szCs w:val="21"/>
        </w:rPr>
      </w:pPr>
      <w:r>
        <w:rPr>
          <w:rFonts w:hint="eastAsia" w:ascii="宋体" w:hAnsi="宋体" w:cs="仿宋"/>
          <w:szCs w:val="21"/>
        </w:rPr>
        <w:t>完成年度工况监控系统运行维护。</w:t>
      </w:r>
    </w:p>
    <w:p>
      <w:pPr>
        <w:numPr>
          <w:ilvl w:val="0"/>
          <w:numId w:val="5"/>
        </w:numPr>
        <w:spacing w:line="360" w:lineRule="auto"/>
        <w:ind w:firstLine="420" w:firstLineChars="200"/>
        <w:rPr>
          <w:rFonts w:ascii="宋体" w:hAnsi="宋体" w:cs="仿宋"/>
          <w:szCs w:val="21"/>
        </w:rPr>
      </w:pPr>
      <w:r>
        <w:rPr>
          <w:rFonts w:hint="eastAsia" w:ascii="宋体" w:hAnsi="宋体" w:cs="仿宋"/>
          <w:szCs w:val="21"/>
        </w:rPr>
        <w:t>保障局内网络设备、线路正常运转。</w:t>
      </w:r>
    </w:p>
    <w:p>
      <w:pPr>
        <w:numPr>
          <w:ilvl w:val="0"/>
          <w:numId w:val="5"/>
        </w:numPr>
        <w:spacing w:line="360" w:lineRule="auto"/>
        <w:ind w:firstLine="420" w:firstLineChars="200"/>
        <w:rPr>
          <w:rFonts w:ascii="宋体" w:hAnsi="宋体" w:cs="仿宋"/>
          <w:szCs w:val="21"/>
        </w:rPr>
      </w:pPr>
      <w:r>
        <w:rPr>
          <w:rFonts w:hint="eastAsia" w:ascii="宋体" w:hAnsi="宋体" w:cs="仿宋"/>
          <w:szCs w:val="21"/>
        </w:rPr>
        <w:t>完成软件正版化工作。</w:t>
      </w:r>
    </w:p>
    <w:p>
      <w:pPr>
        <w:numPr>
          <w:ilvl w:val="0"/>
          <w:numId w:val="5"/>
        </w:numPr>
        <w:spacing w:line="360" w:lineRule="auto"/>
        <w:ind w:firstLine="420" w:firstLineChars="200"/>
        <w:rPr>
          <w:rFonts w:ascii="宋体" w:hAnsi="宋体" w:cs="仿宋"/>
          <w:szCs w:val="21"/>
        </w:rPr>
      </w:pPr>
      <w:r>
        <w:rPr>
          <w:rFonts w:hint="eastAsia" w:ascii="宋体" w:hAnsi="宋体" w:cs="仿宋"/>
          <w:szCs w:val="21"/>
        </w:rPr>
        <w:t>完成局领导交办的其它工作。</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9"/>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626003唐山市环境监控指挥中心</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123.32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123.32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71.28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52.04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123.32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63.54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55.79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7.75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59.78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7.74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52.04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29"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626003唐山市环境监控指挥中心</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63.54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63.54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一、工资福利支出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55.79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55.79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17.75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17.75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19.89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19.89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19.30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19.30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工作津贴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7.72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7.72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生活补贴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11.58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11.58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增发津补贴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2）（特殊）岗位津贴（补贴）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3）规范津补贴后仍继续保留的补贴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回族补贴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职工劳模荣誉津贴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4）上述项目之外的津贴补贴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通讯费补贴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女职工卫生费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7.71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7.71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3）基本医疗保险费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5.78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5.78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4）事业单位失业保险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5）事业单位工伤保险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6）职工生育保险费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6、其他工资福利支出</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1）人事代理人员工资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2）劳务派遣人员工资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3）其他编外人员工资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4）病假两个月以上期间的人员工资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5）教师超工作量津贴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6）各种加班工资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7）预留人员经费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二、对个人和家庭的补助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7.75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7.75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30"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正常公用经费预算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626003唐山市环境监控指挥中心</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7.74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7.74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一、定额安排公用经费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7、公务交通补贴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8、其他商品和服务支出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二、按规定比例提取安排公用经费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三、非定额安排公用经费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31"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9"/>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626003唐山市环境监控指挥中心</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（一）因公出国境费用</w:t>
            </w:r>
          </w:p>
        </w:tc>
        <w:tc>
          <w:tcPr>
            <w:tcW w:w="1843" w:type="dxa"/>
            <w:gridSpan w:val="2"/>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二、会议费</w:t>
            </w:r>
          </w:p>
        </w:tc>
        <w:tc>
          <w:tcPr>
            <w:tcW w:w="1843" w:type="dxa"/>
            <w:gridSpan w:val="2"/>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0.56</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0.56</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0.61</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0.61</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32"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专项公用经费支出安排表</w:t>
      </w:r>
    </w:p>
    <w:tbl>
      <w:tblPr>
        <w:tblStyle w:val="9"/>
        <w:tblW w:w="13970" w:type="dxa"/>
        <w:jc w:val="center"/>
        <w:tblInd w:w="-18" w:type="dxa"/>
        <w:tblLayout w:type="fixed"/>
        <w:tblCellMar>
          <w:top w:w="0" w:type="dxa"/>
          <w:left w:w="108" w:type="dxa"/>
          <w:bottom w:w="0" w:type="dxa"/>
          <w:right w:w="108" w:type="dxa"/>
        </w:tblCellMar>
      </w:tblPr>
      <w:tblGrid>
        <w:gridCol w:w="18"/>
        <w:gridCol w:w="1689"/>
        <w:gridCol w:w="5301"/>
        <w:gridCol w:w="1418"/>
        <w:gridCol w:w="1365"/>
        <w:gridCol w:w="52"/>
        <w:gridCol w:w="1418"/>
        <w:gridCol w:w="1417"/>
        <w:gridCol w:w="1105"/>
        <w:gridCol w:w="187"/>
      </w:tblGrid>
      <w:tr>
        <w:tblPrEx>
          <w:tblLayout w:type="fixed"/>
          <w:tblCellMar>
            <w:top w:w="0" w:type="dxa"/>
            <w:left w:w="108" w:type="dxa"/>
            <w:bottom w:w="0" w:type="dxa"/>
            <w:right w:w="108" w:type="dxa"/>
          </w:tblCellMar>
        </w:tblPrEx>
        <w:trPr>
          <w:gridBefore w:val="1"/>
          <w:gridAfter w:val="1"/>
          <w:wBefore w:w="18" w:type="dxa"/>
          <w:wAfter w:w="187" w:type="dxa"/>
          <w:cantSplit/>
          <w:trHeight w:val="270" w:hRule="atLeast"/>
          <w:tblHeader/>
          <w:jc w:val="center"/>
        </w:trPr>
        <w:tc>
          <w:tcPr>
            <w:tcW w:w="9773" w:type="dxa"/>
            <w:gridSpan w:val="4"/>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626003唐山市环境监控指挥中心</w:t>
            </w:r>
            <w:r>
              <w:rPr>
                <w:rFonts w:hint="eastAsia" w:ascii="宋体" w:hAnsi="宋体" w:cs="宋体"/>
                <w:color w:val="000000"/>
                <w:kern w:val="0"/>
                <w:sz w:val="22"/>
              </w:rPr>
              <w:t>　</w:t>
            </w:r>
          </w:p>
        </w:tc>
        <w:tc>
          <w:tcPr>
            <w:tcW w:w="3992"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170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功能分类科目编码</w:t>
            </w:r>
          </w:p>
        </w:tc>
        <w:tc>
          <w:tcPr>
            <w:tcW w:w="53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预算支出项目</w:t>
            </w:r>
          </w:p>
        </w:tc>
        <w:tc>
          <w:tcPr>
            <w:tcW w:w="6962"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黑体" w:hAnsi="黑体" w:eastAsia="黑体" w:cs="宋体"/>
                <w:b/>
                <w:color w:val="000000"/>
                <w:kern w:val="0"/>
                <w:szCs w:val="21"/>
              </w:rPr>
            </w:pPr>
          </w:p>
        </w:tc>
        <w:tc>
          <w:tcPr>
            <w:tcW w:w="5301" w:type="dxa"/>
            <w:vMerge w:val="continue"/>
            <w:vAlign w:val="center"/>
          </w:tcPr>
          <w:p>
            <w:pPr>
              <w:widowControl/>
              <w:jc w:val="center"/>
              <w:rPr>
                <w:rFonts w:ascii="黑体" w:hAnsi="黑体" w:eastAsia="黑体" w:cs="宋体"/>
                <w:b/>
                <w:color w:val="000000"/>
                <w:kern w:val="0"/>
                <w:szCs w:val="21"/>
              </w:rPr>
            </w:pP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92"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宋体" w:hAnsi="宋体" w:cs="宋体"/>
                <w:b/>
                <w:color w:val="000000"/>
                <w:kern w:val="0"/>
                <w:sz w:val="22"/>
              </w:rPr>
            </w:pPr>
          </w:p>
        </w:tc>
        <w:tc>
          <w:tcPr>
            <w:tcW w:w="5301" w:type="dxa"/>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gridSpan w:val="2"/>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vMerge w:val="continue"/>
            <w:vAlign w:val="center"/>
          </w:tcPr>
          <w:p>
            <w:pPr>
              <w:widowControl/>
              <w:jc w:val="center"/>
              <w:rPr>
                <w:rFonts w:ascii="宋体" w:hAnsi="宋体" w:cs="宋体"/>
                <w:b/>
                <w:color w:val="000000"/>
                <w:kern w:val="0"/>
                <w:sz w:val="22"/>
              </w:rPr>
            </w:pPr>
          </w:p>
        </w:tc>
        <w:tc>
          <w:tcPr>
            <w:tcW w:w="1292"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707" w:type="dxa"/>
            <w:gridSpan w:val="2"/>
            <w:vMerge w:val="continue"/>
            <w:shd w:val="clear" w:color="auto" w:fill="auto"/>
            <w:vAlign w:val="center"/>
          </w:tcPr>
          <w:p>
            <w:pPr>
              <w:widowControl/>
              <w:jc w:val="left"/>
              <w:rPr>
                <w:rFonts w:ascii="宋体" w:hAnsi="宋体" w:cs="宋体"/>
                <w:color w:val="000000"/>
                <w:kern w:val="0"/>
                <w:szCs w:val="21"/>
              </w:rPr>
            </w:pPr>
          </w:p>
        </w:tc>
        <w:tc>
          <w:tcPr>
            <w:tcW w:w="5301"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292"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52.04</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52.04</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软件正版化操作系统</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28.50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28.50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笔记本电脑</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彩色一体机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网上审批系统、网站日常运行及安全维护</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互联网光纤费用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9.84</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9.84</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33"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9"/>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626003唐山市环境监控指挥中心</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参公单位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34"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9"/>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626003唐山市环境监控指挥中心</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参公单位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艘</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35"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唐山市环境监控指挥中心收支预算说明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r>
        <w:rPr>
          <w:rFonts w:hint="eastAsia"/>
        </w:rPr>
        <w:t>罚款收入预算60万元</w:t>
      </w:r>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9"/>
        <w:tblW w:w="14174" w:type="dxa"/>
        <w:jc w:val="center"/>
        <w:tblInd w:w="-23"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626003唐山市环境监控指挥中心</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52.04</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62600317GGZ0001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为局机关监控中心购置空调一台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62600317GGZ0002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软件正版化操作系统</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正版</w:t>
            </w:r>
            <w:r>
              <w:rPr>
                <w:rFonts w:ascii="宋体" w:hAnsi="宋体" w:cs="宋体"/>
                <w:color w:val="000000"/>
                <w:kern w:val="0"/>
                <w:szCs w:val="21"/>
              </w:rPr>
              <w:t>win7专业版操作系统150套，1900元/套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62600317GGZ0005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笔记本电脑</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为监控中心购置专用笔记本电脑</w:t>
            </w:r>
            <w:r>
              <w:rPr>
                <w:rFonts w:ascii="宋体" w:hAnsi="宋体" w:cs="宋体"/>
                <w:color w:val="000000"/>
                <w:kern w:val="0"/>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62600317GGZ0006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彩色一体机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为监控中心购置在线监测违法行为使用的彩色复印打印一体机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62600317GWH0003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互联网光纤费用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9.84</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局机关办公及信息公开网络光纤费用</w:t>
            </w:r>
            <w:r>
              <w:rPr>
                <w:rFonts w:ascii="宋体" w:hAnsi="宋体" w:cs="宋体"/>
                <w:color w:val="000000"/>
                <w:kern w:val="0"/>
                <w:szCs w:val="21"/>
              </w:rPr>
              <w:t>6万元，电子政务外网光纤费用3.84万元。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62600317GWH0004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网上审批系统、网站日常运行及安全维护</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日常运行维护费用每年</w:t>
            </w:r>
            <w:r>
              <w:rPr>
                <w:rFonts w:ascii="宋体" w:hAnsi="宋体" w:cs="宋体"/>
                <w:color w:val="000000"/>
                <w:kern w:val="0"/>
                <w:szCs w:val="21"/>
              </w:rPr>
              <w:t>2万元；审批系统根据业务需要进行模块及流程修改，费用4万元，网站每年根据省市要求增加删减相关模块，升级部分软件功能2万元。</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36"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7" w:name="_Toc476241469"/>
      <w:r>
        <w:t>三、唐山市环境监测中心站收支预算安排</w:t>
      </w:r>
      <w:bookmarkEnd w:id="17"/>
    </w:p>
    <w:p>
      <w:pPr>
        <w:jc w:val="center"/>
        <w:rPr>
          <w:rFonts w:ascii="宋体" w:hAnsi="宋体" w:eastAsia="宋体"/>
          <w:b/>
          <w:color w:val="000000"/>
          <w:sz w:val="44"/>
        </w:rPr>
      </w:pPr>
      <w:r>
        <w:rPr>
          <w:rFonts w:hint="eastAsia" w:ascii="宋体" w:hAnsi="宋体" w:eastAsia="宋体"/>
          <w:b/>
          <w:color w:val="000000"/>
          <w:sz w:val="44"/>
        </w:rPr>
        <w:t>唐山市环境监测中心站职责任务与目标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360" w:lineRule="auto"/>
        <w:ind w:firstLine="883" w:firstLineChars="200"/>
        <w:jc w:val="center"/>
        <w:rPr>
          <w:rFonts w:ascii="宋体" w:hAnsi="宋体" w:eastAsia="宋体"/>
          <w:b/>
          <w:sz w:val="44"/>
          <w:szCs w:val="21"/>
        </w:rPr>
      </w:pPr>
      <w:r>
        <w:rPr>
          <w:rFonts w:hint="eastAsia" w:ascii="宋体" w:hAnsi="宋体" w:eastAsia="宋体"/>
          <w:b/>
          <w:sz w:val="44"/>
          <w:szCs w:val="21"/>
        </w:rPr>
        <w:t>唐山市环境监测中心站主要职责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360" w:lineRule="auto"/>
        <w:ind w:firstLine="480" w:firstLineChars="200"/>
        <w:rPr>
          <w:rFonts w:ascii="宋体" w:hAnsi="宋体"/>
          <w:sz w:val="24"/>
          <w:szCs w:val="24"/>
        </w:rPr>
      </w:pPr>
      <w:r>
        <w:rPr>
          <w:rFonts w:ascii="宋体" w:hAnsi="宋体"/>
          <w:sz w:val="24"/>
          <w:szCs w:val="24"/>
        </w:rPr>
        <w:t>１、对本辖区环境空气、大气降水、地表水、地下水、噪声和汽车尾气等环境要素进行常规监测；定期向环境保护主管部门和上级环境监测站呈报环境质量状况和污染动态的技术报告。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360" w:lineRule="auto"/>
        <w:ind w:firstLine="480" w:firstLineChars="200"/>
        <w:rPr>
          <w:rFonts w:ascii="宋体" w:hAnsi="宋体"/>
          <w:sz w:val="24"/>
          <w:szCs w:val="24"/>
        </w:rPr>
      </w:pPr>
      <w:r>
        <w:rPr>
          <w:rFonts w:ascii="宋体" w:hAnsi="宋体"/>
          <w:sz w:val="24"/>
          <w:szCs w:val="24"/>
        </w:rPr>
        <w:t>2、对各有关单位排放污染物的状况进行定期或不定期的监督性监测，为污染源管理和排污收费提供监测数据，为政府部门执行各项环境法规提供准确、可靠的监测数据和资料。</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360" w:lineRule="auto"/>
        <w:ind w:firstLine="480" w:firstLineChars="200"/>
        <w:rPr>
          <w:rFonts w:ascii="宋体" w:hAnsi="宋体"/>
          <w:sz w:val="24"/>
          <w:szCs w:val="24"/>
        </w:rPr>
      </w:pPr>
      <w:r>
        <w:rPr>
          <w:rFonts w:ascii="宋体" w:hAnsi="宋体"/>
          <w:sz w:val="24"/>
          <w:szCs w:val="24"/>
        </w:rPr>
        <w:t>3、参加制定环境监测规划和计划，建立环境监测动态数据库和信息管理系统，完成主管部门进行环境管理所需要的各项监测任务。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360" w:lineRule="auto"/>
        <w:ind w:firstLine="480" w:firstLineChars="200"/>
        <w:rPr>
          <w:rFonts w:ascii="宋体" w:hAnsi="宋体"/>
          <w:sz w:val="24"/>
          <w:szCs w:val="24"/>
        </w:rPr>
      </w:pPr>
      <w:r>
        <w:rPr>
          <w:rFonts w:ascii="宋体" w:hAnsi="宋体"/>
          <w:sz w:val="24"/>
          <w:szCs w:val="24"/>
        </w:rPr>
        <w:t>4、开展环保设施竣工验收和污染源限期治理达标验收监测。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360" w:lineRule="auto"/>
        <w:ind w:firstLine="480" w:firstLineChars="200"/>
        <w:rPr>
          <w:rFonts w:ascii="宋体" w:hAnsi="宋体"/>
          <w:sz w:val="24"/>
          <w:szCs w:val="24"/>
        </w:rPr>
      </w:pPr>
      <w:r>
        <w:rPr>
          <w:rFonts w:ascii="宋体" w:hAnsi="宋体"/>
          <w:sz w:val="24"/>
          <w:szCs w:val="24"/>
        </w:rPr>
        <w:t>5、参加本辖区污染事件调查和应急监测等各种应急环境监测工作。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360" w:lineRule="auto"/>
        <w:ind w:firstLine="480" w:firstLineChars="200"/>
        <w:rPr>
          <w:rFonts w:ascii="宋体" w:hAnsi="宋体"/>
          <w:sz w:val="24"/>
          <w:szCs w:val="24"/>
        </w:rPr>
      </w:pPr>
      <w:r>
        <w:rPr>
          <w:rFonts w:ascii="宋体" w:hAnsi="宋体"/>
          <w:sz w:val="24"/>
          <w:szCs w:val="24"/>
        </w:rPr>
        <w:t>6、负责本辖区环境质量评价，编写环境质量报告书。负责本辖区环境监测网的业务组织和协调，组织技术交流和监测技术人员的培训、考核及质控，做好环境监测的质量控制和质量保证工作。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360" w:lineRule="auto"/>
        <w:ind w:firstLine="480" w:firstLineChars="200"/>
        <w:rPr>
          <w:rFonts w:eastAsia="宋体"/>
          <w:sz w:val="24"/>
          <w:szCs w:val="24"/>
        </w:rPr>
      </w:pPr>
      <w:r>
        <w:rPr>
          <w:rFonts w:ascii="宋体" w:hAnsi="宋体"/>
          <w:sz w:val="24"/>
          <w:szCs w:val="24"/>
        </w:rPr>
        <w:t>7、开展环境监测科研工作，研究各种污染防治对策，开展环境质量的预测、预报工作。</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right="11" w:firstLine="883" w:firstLineChars="200"/>
        <w:jc w:val="center"/>
        <w:rPr>
          <w:rFonts w:ascii="宋体" w:hAnsi="宋体" w:eastAsia="宋体"/>
          <w:b/>
          <w:sz w:val="44"/>
          <w:szCs w:val="44"/>
        </w:rPr>
      </w:pPr>
      <w:r>
        <w:rPr>
          <w:rFonts w:hint="eastAsia" w:ascii="宋体" w:hAnsi="宋体" w:eastAsia="宋体"/>
          <w:b/>
          <w:sz w:val="44"/>
          <w:szCs w:val="44"/>
        </w:rPr>
        <w:t>监测站主要任务及目标规划</w:t>
      </w:r>
    </w:p>
    <w:p>
      <w:p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firstLine="480" w:firstLineChars="200"/>
        <w:rPr>
          <w:rFonts w:ascii="宋体" w:hAnsi="宋体" w:eastAsia="宋体"/>
          <w:sz w:val="24"/>
          <w:szCs w:val="21"/>
        </w:rPr>
      </w:pPr>
      <w:r>
        <w:rPr>
          <w:rFonts w:ascii="宋体" w:hAnsi="宋体" w:eastAsia="宋体"/>
          <w:sz w:val="24"/>
          <w:szCs w:val="21"/>
        </w:rPr>
        <w:t>1、常规监测工作。按照国家和省环保局的要求开展辖区内环境空气、地表水、地下水、近岸海域海水和声环境的常规环境质量监测工作。目前运行的环境空气质量监测子站6个，地表水常规监测点位13个，地下水监测点位12个，近岸海域水质监测点8个，功能区噪声监测点位8个，区域环境噪声监测点位208个，交通噪声监测点位128个。每年按照国家总局和省局的要求及时上报各类环境监测数据。</w:t>
      </w:r>
    </w:p>
    <w:p>
      <w:p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firstLine="480" w:firstLineChars="200"/>
        <w:rPr>
          <w:rFonts w:ascii="宋体" w:hAnsi="宋体" w:eastAsia="宋体"/>
          <w:sz w:val="24"/>
          <w:szCs w:val="21"/>
        </w:rPr>
      </w:pPr>
      <w:r>
        <w:rPr>
          <w:rFonts w:ascii="宋体" w:hAnsi="宋体" w:eastAsia="宋体"/>
          <w:sz w:val="24"/>
          <w:szCs w:val="21"/>
        </w:rPr>
        <w:t>2、污染源监测工作。承担着唐山市辖区内污染源的监测工作，包括排污申报、换发排污许可证、总量收费、污染纠纷、工程验收监测以及突发性污染事故应急监测。</w:t>
      </w:r>
    </w:p>
    <w:p>
      <w:p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firstLine="480" w:firstLineChars="200"/>
        <w:rPr>
          <w:rFonts w:ascii="宋体" w:hAnsi="宋体" w:eastAsia="宋体"/>
          <w:sz w:val="24"/>
          <w:szCs w:val="21"/>
        </w:rPr>
      </w:pPr>
      <w:r>
        <w:rPr>
          <w:rFonts w:ascii="宋体" w:hAnsi="宋体" w:eastAsia="宋体"/>
          <w:sz w:val="24"/>
          <w:szCs w:val="21"/>
        </w:rPr>
        <w:t>3、应急监测工作。现有省局统一配置的应急监测车以及大气和水质监测分析仪器；制定了应急监测预案，定期对仪器设备进行维护，积极开展应急监测技术学习和演练，使相关技术人员掌握仪器设备的使用和操作要领。</w:t>
      </w:r>
    </w:p>
    <w:p>
      <w:p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firstLine="480" w:firstLineChars="200"/>
        <w:rPr>
          <w:rFonts w:ascii="宋体" w:hAnsi="宋体" w:eastAsia="宋体"/>
          <w:sz w:val="24"/>
          <w:szCs w:val="21"/>
        </w:rPr>
      </w:pPr>
      <w:r>
        <w:rPr>
          <w:rFonts w:ascii="宋体" w:hAnsi="宋体" w:eastAsia="宋体"/>
          <w:sz w:val="24"/>
          <w:szCs w:val="21"/>
        </w:rPr>
        <w:t>4、综合分析工作。建立健全环境质量监测动态数据库系统，编写完成了各年度环境质量报告书和各类专题分析报告。其中环境质量报告书电子版多次获省一、二等奖。另外，配合市环保局较好地完成了各年度的环境统计工作。</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9"/>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626004唐山市环境监测中心站</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1250.4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1250.4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957.61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292.79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1250.4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944.2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820.02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124.18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306.2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112.69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193.51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37"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626004唐山市环境监测中心站</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944.20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944.20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一、工资福利支出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820.02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820.02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220.80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220.80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工作津贴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生活补贴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增发津补贴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2）（特殊）岗位津贴（补贴）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11.15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11.15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3）规范津补贴后仍继续保留的补贴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回族补贴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职工劳模荣誉津贴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4）上述项目之外的津贴补贴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通讯费补贴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女职工卫生费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226.71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226.71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92.74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92.74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37.10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37.10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3）基本医疗保险费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89.61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89.61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4）事业单位失业保险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5）事业单位工伤保险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6）职工生育保险费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5、绩效工资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242.90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242.90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157.12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157.12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67.38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67.38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18.40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18.40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6、其他工资福利支出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117.52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117.52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1）人事代理人员工资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53.78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53.78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2）劳务派遣人员工资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63.74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63.74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3）其他编外人员工资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4）病假两个月以上期间的人员工资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5）教师超工作量津贴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6）各种加班工资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7）预留人员经费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二、对个人和家庭的补助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124.18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124.18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55.64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55.64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66.19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66.19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36.76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36.76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29.43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29.43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38"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正常公用经费预算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626004唐山市环境监测中心站</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112.69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112.69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一、定额安排公用经费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37.01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37.01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11.10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11.10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12.80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12.80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7、公务交通补贴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8、其他商品和服务支出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二、按规定比例提取安排公用经费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23.98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23.98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5.70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5.70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三、非定额安排公用经费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51.70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51.70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38.50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38.50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39"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9"/>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626004唐山市环境监测中心站</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13.54</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13.54</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（一）因公出国境费用</w:t>
            </w:r>
          </w:p>
        </w:tc>
        <w:tc>
          <w:tcPr>
            <w:tcW w:w="1843" w:type="dxa"/>
            <w:gridSpan w:val="2"/>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12.80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12.80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12.80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12.80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0.74</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0.74</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二、会议费</w:t>
            </w:r>
          </w:p>
        </w:tc>
        <w:tc>
          <w:tcPr>
            <w:tcW w:w="1843" w:type="dxa"/>
            <w:gridSpan w:val="2"/>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8.82</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8.82</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22.36</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22.36</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40"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专项公用经费支出安排表</w:t>
      </w:r>
    </w:p>
    <w:tbl>
      <w:tblPr>
        <w:tblStyle w:val="9"/>
        <w:tblW w:w="13970" w:type="dxa"/>
        <w:jc w:val="center"/>
        <w:tblInd w:w="-18" w:type="dxa"/>
        <w:tblLayout w:type="fixed"/>
        <w:tblCellMar>
          <w:top w:w="0" w:type="dxa"/>
          <w:left w:w="108" w:type="dxa"/>
          <w:bottom w:w="0" w:type="dxa"/>
          <w:right w:w="108" w:type="dxa"/>
        </w:tblCellMar>
      </w:tblPr>
      <w:tblGrid>
        <w:gridCol w:w="18"/>
        <w:gridCol w:w="1689"/>
        <w:gridCol w:w="5301"/>
        <w:gridCol w:w="1418"/>
        <w:gridCol w:w="1365"/>
        <w:gridCol w:w="52"/>
        <w:gridCol w:w="1418"/>
        <w:gridCol w:w="1417"/>
        <w:gridCol w:w="1105"/>
        <w:gridCol w:w="187"/>
      </w:tblGrid>
      <w:tr>
        <w:tblPrEx>
          <w:tblLayout w:type="fixed"/>
          <w:tblCellMar>
            <w:top w:w="0" w:type="dxa"/>
            <w:left w:w="108" w:type="dxa"/>
            <w:bottom w:w="0" w:type="dxa"/>
            <w:right w:w="108" w:type="dxa"/>
          </w:tblCellMar>
        </w:tblPrEx>
        <w:trPr>
          <w:gridBefore w:val="1"/>
          <w:gridAfter w:val="1"/>
          <w:wBefore w:w="18" w:type="dxa"/>
          <w:wAfter w:w="187" w:type="dxa"/>
          <w:cantSplit/>
          <w:trHeight w:val="270" w:hRule="atLeast"/>
          <w:tblHeader/>
          <w:jc w:val="center"/>
        </w:trPr>
        <w:tc>
          <w:tcPr>
            <w:tcW w:w="9773" w:type="dxa"/>
            <w:gridSpan w:val="4"/>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626004唐山市环境监测中心站</w:t>
            </w:r>
            <w:r>
              <w:rPr>
                <w:rFonts w:hint="eastAsia" w:ascii="宋体" w:hAnsi="宋体" w:cs="宋体"/>
                <w:color w:val="000000"/>
                <w:kern w:val="0"/>
                <w:sz w:val="22"/>
              </w:rPr>
              <w:t>　</w:t>
            </w:r>
          </w:p>
        </w:tc>
        <w:tc>
          <w:tcPr>
            <w:tcW w:w="3992"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170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功能分类科目编码</w:t>
            </w:r>
          </w:p>
        </w:tc>
        <w:tc>
          <w:tcPr>
            <w:tcW w:w="53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预算支出项目</w:t>
            </w:r>
          </w:p>
        </w:tc>
        <w:tc>
          <w:tcPr>
            <w:tcW w:w="6962"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黑体" w:hAnsi="黑体" w:eastAsia="黑体" w:cs="宋体"/>
                <w:b/>
                <w:color w:val="000000"/>
                <w:kern w:val="0"/>
                <w:szCs w:val="21"/>
              </w:rPr>
            </w:pPr>
          </w:p>
        </w:tc>
        <w:tc>
          <w:tcPr>
            <w:tcW w:w="5301" w:type="dxa"/>
            <w:vMerge w:val="continue"/>
            <w:vAlign w:val="center"/>
          </w:tcPr>
          <w:p>
            <w:pPr>
              <w:widowControl/>
              <w:jc w:val="center"/>
              <w:rPr>
                <w:rFonts w:ascii="黑体" w:hAnsi="黑体" w:eastAsia="黑体" w:cs="宋体"/>
                <w:b/>
                <w:color w:val="000000"/>
                <w:kern w:val="0"/>
                <w:szCs w:val="21"/>
              </w:rPr>
            </w:pP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92"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宋体" w:hAnsi="宋体" w:cs="宋体"/>
                <w:b/>
                <w:color w:val="000000"/>
                <w:kern w:val="0"/>
                <w:sz w:val="22"/>
              </w:rPr>
            </w:pPr>
          </w:p>
        </w:tc>
        <w:tc>
          <w:tcPr>
            <w:tcW w:w="5301" w:type="dxa"/>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gridSpan w:val="2"/>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vMerge w:val="continue"/>
            <w:vAlign w:val="center"/>
          </w:tcPr>
          <w:p>
            <w:pPr>
              <w:widowControl/>
              <w:jc w:val="center"/>
              <w:rPr>
                <w:rFonts w:ascii="宋体" w:hAnsi="宋体" w:cs="宋体"/>
                <w:b/>
                <w:color w:val="000000"/>
                <w:kern w:val="0"/>
                <w:sz w:val="22"/>
              </w:rPr>
            </w:pPr>
          </w:p>
        </w:tc>
        <w:tc>
          <w:tcPr>
            <w:tcW w:w="1292"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707" w:type="dxa"/>
            <w:gridSpan w:val="2"/>
            <w:vMerge w:val="continue"/>
            <w:shd w:val="clear" w:color="auto" w:fill="auto"/>
            <w:vAlign w:val="center"/>
          </w:tcPr>
          <w:p>
            <w:pPr>
              <w:widowControl/>
              <w:jc w:val="left"/>
              <w:rPr>
                <w:rFonts w:ascii="宋体" w:hAnsi="宋体" w:cs="宋体"/>
                <w:color w:val="000000"/>
                <w:kern w:val="0"/>
                <w:szCs w:val="21"/>
              </w:rPr>
            </w:pPr>
          </w:p>
        </w:tc>
        <w:tc>
          <w:tcPr>
            <w:tcW w:w="5301"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292"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193.51</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193.51</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监测用药品、试剂、实验用品</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检测专用材料消耗</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检测专项业务费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重金属污染防治资金采购项目质保金</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11.24</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11.24</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车载设备维护</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2.45</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2.45</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陡河水源地监测系统维护费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专用仪器维修保养及检定费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出国培训费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2.14</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2.14</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专家咨询费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监测采样费用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保安、保</w:t>
            </w:r>
            <w:r>
              <w:rPr>
                <w:rFonts w:ascii="宋体" w:hAnsi="宋体" w:cs="宋体"/>
                <w:color w:val="000000"/>
                <w:kern w:val="0"/>
                <w:szCs w:val="21"/>
              </w:rPr>
              <w:t xml:space="preserve"> 洁、办公 楼物业维护</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10.68</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10.68</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41"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9"/>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626004唐山市环境监测中心站</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42"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9"/>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626004唐山市环境监测中心站</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艘</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3300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43"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唐山市环境监测中心站收支预算说明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883" w:firstLineChars="200"/>
        <w:jc w:val="center"/>
        <w:rPr>
          <w:rFonts w:ascii="宋体" w:hAnsi="宋体"/>
          <w:b/>
          <w:sz w:val="44"/>
          <w:szCs w:val="44"/>
        </w:rPr>
      </w:pPr>
      <w:r>
        <w:rPr>
          <w:rFonts w:hint="eastAsia" w:ascii="宋体" w:hAnsi="宋体"/>
          <w:b/>
          <w:sz w:val="44"/>
          <w:szCs w:val="44"/>
        </w:rPr>
        <w:t>监测站非税收入说明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80" w:firstLineChars="200"/>
        <w:rPr>
          <w:rFonts w:ascii="宋体" w:hAnsi="宋体"/>
          <w:sz w:val="24"/>
          <w:szCs w:val="24"/>
        </w:rPr>
      </w:pPr>
      <w:r>
        <w:rPr>
          <w:rFonts w:ascii="宋体" w:hAnsi="宋体"/>
          <w:sz w:val="24"/>
          <w:szCs w:val="24"/>
        </w:rPr>
        <w:t>根据价费字[1992]178号及财预[2002]9号文件，我单位监测费201</w:t>
      </w:r>
      <w:r>
        <w:rPr>
          <w:rFonts w:hint="eastAsia" w:ascii="宋体" w:hAnsi="宋体"/>
          <w:sz w:val="24"/>
          <w:szCs w:val="24"/>
        </w:rPr>
        <w:t>7</w:t>
      </w:r>
      <w:r>
        <w:rPr>
          <w:rFonts w:ascii="宋体" w:hAnsi="宋体"/>
          <w:sz w:val="24"/>
          <w:szCs w:val="24"/>
        </w:rPr>
        <w:t>年预计收入</w:t>
      </w:r>
      <w:r>
        <w:rPr>
          <w:rFonts w:hint="eastAsia" w:ascii="宋体" w:hAnsi="宋体"/>
          <w:sz w:val="24"/>
          <w:szCs w:val="24"/>
        </w:rPr>
        <w:t>400</w:t>
      </w:r>
      <w:r>
        <w:rPr>
          <w:rFonts w:ascii="宋体" w:hAnsi="宋体"/>
          <w:sz w:val="24"/>
          <w:szCs w:val="24"/>
        </w:rPr>
        <w:t>万元，其中</w:t>
      </w:r>
      <w:r>
        <w:rPr>
          <w:rFonts w:hint="eastAsia" w:ascii="宋体" w:hAnsi="宋体"/>
          <w:sz w:val="24"/>
          <w:szCs w:val="24"/>
        </w:rPr>
        <w:t>292.79万元</w:t>
      </w:r>
      <w:r>
        <w:rPr>
          <w:rFonts w:ascii="宋体" w:hAnsi="宋体"/>
          <w:sz w:val="24"/>
          <w:szCs w:val="24"/>
        </w:rPr>
        <w:t>用于安排支出。</w:t>
      </w:r>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9"/>
        <w:tblW w:w="14174" w:type="dxa"/>
        <w:jc w:val="center"/>
        <w:tblInd w:w="-23"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626004唐山市环境监测中心站</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193.51</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62600417GGZ0001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监测用药品、试剂、实验用品</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我单位</w:t>
            </w:r>
            <w:r>
              <w:rPr>
                <w:rFonts w:ascii="宋体" w:hAnsi="宋体" w:cs="宋体"/>
                <w:color w:val="000000"/>
                <w:kern w:val="0"/>
                <w:szCs w:val="21"/>
              </w:rPr>
              <w:t>2016年申请预算为40 万元，使用国控重点污染源专项资金20万元。至2016年11月实际剩余金额总量为19.1059万元，根据2016年前10个月相关货物采购情况，剩余金额不能满足我站11、12月相关物品采购。2017年我站不再收到国控重点污染源专项资金，但相关监测项目仍需进行，不足资金请由地方财政承担。故2017年申请专项65万元，以满足我站2017年采购需要。以下为我站此项资金使用说明。</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1）我站为服务性事业单位，主要由大气室和水室两大科室业务为主，其采回样品均由实验室化验得出数据。故实验室</w:t>
            </w:r>
            <w:r>
              <w:rPr>
                <w:rFonts w:hint="eastAsia" w:ascii="宋体" w:hAnsi="宋体" w:cs="宋体"/>
                <w:color w:val="000000"/>
                <w:kern w:val="0"/>
                <w:szCs w:val="21"/>
              </w:rPr>
              <w:t>每年消耗盐酸、硫酸等腐蚀性酸类用量巨大，故申请实验用品资金约</w:t>
            </w:r>
            <w:r>
              <w:rPr>
                <w:rFonts w:ascii="宋体" w:hAnsi="宋体" w:cs="宋体"/>
                <w:color w:val="000000"/>
                <w:kern w:val="0"/>
                <w:szCs w:val="21"/>
              </w:rPr>
              <w:t>12万元。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应国家环保部要求，我站承担唐山市加油站油气回收验收项目共计5000家，此次验收设备需用高纯气体校准，释放标准氮气监测。高纯气体单价为2500元/瓶。标准氮气单价为95元/瓶。每3油站须用一瓶标气，因用量较大，故申请实验用品资金约18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我站实验室均采用国内精密设备和进口大型设备进行化学实验。此大型设备每次开机实验前均要用标准气体、标准液体进行校准。且每月必须用标准物质进行保养。此设备所需标气及标液均为稀缺物品，单价在4000元以上，且用量较大，故申请实验用品资金约25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由于我站关于环境监测实验频繁，需要使用大量实验器皿如烧杯、量杯、烧瓶等。由于实验器皿使用量大，实验过于频繁，导致实验器皿很快达到使用次数限制；同时我站实验产生大量废液，需经专业处理外运。两部相加，申请实验器皿及废液处理资金约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62600417GGZ0002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检测专用材料消耗</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我单位承担我市国控重点污染源常规监测。我市共有国控源98家，预计明年将有所增加。每年需对其进行四次常规监测。工作量大，仪器消耗严重。仪器配件单价在3000元左右。故申请设备仪器配件费用约为9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我单位大气监测、水质监测采回的样品均由实验室人员及时化学分析实验。采回的气体和液体样品多由玻璃器皿装置。在实验过程中玻璃器皿有所损坏，每年需求量法较高。故申请实验室玻璃器皿及专业配件费用约为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62600417GGZ0003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检测专项业务费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我单位业务工作要求对全市大气降水、地表水、地下水进行常规监测。每年需要进行四次常规采样，每次常规采样需要10天，每天需24小时不间断采样才能完成。而采样工具多为玻璃器皿，露天放于户外，常因天气及非人为因素导致玻璃仪器破碎，需购买充足玻璃仪器。每次取回样品进行化验还需大量化学试剂。故申请化学试剂3.5万元。玻璃仪器1.5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2）我站承担汽车尾气巡检工作，我市及各县区所设车管所均有尾气监测项目，共计30多家。每次巡检需配戴尾气监测设备，而此设备属精密仪器，每次开机需校准，标气使用率很高，配件时常更换</w:t>
            </w:r>
            <w:r>
              <w:rPr>
                <w:rFonts w:hint="eastAsia" w:ascii="宋体" w:hAnsi="宋体" w:cs="宋体"/>
                <w:color w:val="000000"/>
                <w:kern w:val="0"/>
                <w:szCs w:val="21"/>
              </w:rPr>
              <w:t>，故申请汽车尾气监测设备配件约为</w:t>
            </w:r>
            <w:r>
              <w:rPr>
                <w:rFonts w:ascii="宋体" w:hAnsi="宋体" w:cs="宋体"/>
                <w:color w:val="000000"/>
                <w:kern w:val="0"/>
                <w:szCs w:val="21"/>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62600417GGZ0012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重金属污染防治资金采购项目质保金</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11.24</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我单位</w:t>
            </w:r>
            <w:r>
              <w:rPr>
                <w:rFonts w:ascii="宋体" w:hAnsi="宋体" w:cs="宋体"/>
                <w:color w:val="000000"/>
                <w:kern w:val="0"/>
                <w:szCs w:val="21"/>
              </w:rPr>
              <w:t>2015年购买重金属污染防治设备，总金额224.7299万元。该采购项目各类手续齐全，2015年我站支付115万元，市环保局支付109.7299万元，剩余5%质保金（11.236495万元）尚未支付。经与供货商协商，质保金于2017年支付；经与财政局主管部门协调，质保金列入专项公用经费。重金属污染防治资金采购项目于2015年经过政府采购并招标，货款支付完成，仅余质保金尚未支付，故申请直接支付，无需再次经过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62600417GXS0004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车载设备维护</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2.45</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我单位配有应急监测车</w:t>
            </w:r>
            <w:r>
              <w:rPr>
                <w:rFonts w:ascii="宋体" w:hAnsi="宋体" w:cs="宋体"/>
                <w:color w:val="000000"/>
                <w:kern w:val="0"/>
                <w:szCs w:val="21"/>
              </w:rPr>
              <w:t>2部，车上装有空气自动（应急）监测仪和水质自动（应急）监测装置。空气自动（应急）监测车及其负载设备总价667.56万元，水质应急自动监测车及其负载设备总价220.06万元，每年车载设备维护费用总计约为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62600417GXS0005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陡河水源地监测系统维护费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我单位为确保全市人民用水安全，投资</w:t>
            </w:r>
            <w:r>
              <w:rPr>
                <w:rFonts w:ascii="宋体" w:hAnsi="宋体" w:cs="宋体"/>
                <w:color w:val="000000"/>
                <w:kern w:val="0"/>
                <w:szCs w:val="21"/>
              </w:rPr>
              <w:t>100万元在陡河水库设立饮用水源地水质自动监测站，并配属相关自动监测设备。该站对陡河水源地水质进行24小时不间断监测，并且实施监控，把安全数据如实上报市政府。为保障仪器安全运转，我站须派遣专业人员不定期进行日常维护，故申请维护运行费用约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62600417GXS0006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专用仪器维修保养及检定费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我单位进行窑炉企业窑炉监测及酒店油烟排放监测，需用烟尘、烟气专用设备进行采样。因窑炉高温高压导致断烧率增大，而酒店油烟凝固，导致仪器探头堵塞，故仪器破损率剧增。烟尘、烟气采样仪单价为5万元，其配件在8000元左右，特申请烟尘、烟气大气采样仪维修费约为8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我单位承担我市环境噪声检测，包括每季度常规监测，每次监测7天，每天24小时不间断监测；厂区验收监测、建筑环评监测等。而噪声仪属精密仪器，经常开机导致数据不准，需经省计量院维护保养并定期更换配件。噪声仪配件在5000元左右。故申请仪维修费约</w:t>
            </w:r>
            <w:r>
              <w:rPr>
                <w:rFonts w:hint="eastAsia" w:ascii="宋体" w:hAnsi="宋体" w:cs="宋体"/>
                <w:color w:val="000000"/>
                <w:kern w:val="0"/>
                <w:szCs w:val="21"/>
              </w:rPr>
              <w:t>为</w:t>
            </w:r>
            <w:r>
              <w:rPr>
                <w:rFonts w:ascii="宋体" w:hAnsi="宋体" w:cs="宋体"/>
                <w:color w:val="000000"/>
                <w:kern w:val="0"/>
                <w:szCs w:val="21"/>
              </w:rPr>
              <w:t>6万元。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我单位承担民意信访监测工作，因我市各县区火车站离居民区较近，人民经常受到火车振动干扰，我站接到政府信访函需配戴振动监测仪前往监测。而振动监测仪属精密仪器，信访监测属于敏感范筹，我站为保持振动仪精准，需定期维护并更换配件。振动仪配件在4000元左右。故申请振动监测仪维修费约为5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我单位承担污水处理应急监测。因我市人民环保意识增加，而厂区排污不合理，诸如高速路上苯系物货车翻滚，电镀厂违法排污，水库周围水质污染等情况，我站接到紧急预案并配戴水质应急监测设备前往监测。因监测设备属于进</w:t>
            </w:r>
            <w:r>
              <w:rPr>
                <w:rFonts w:hint="eastAsia" w:ascii="宋体" w:hAnsi="宋体" w:cs="宋体"/>
                <w:color w:val="000000"/>
                <w:kern w:val="0"/>
                <w:szCs w:val="21"/>
              </w:rPr>
              <w:t>口便携式采样器，配件在国内无法买到，故单价较贵，配件为</w:t>
            </w:r>
            <w:r>
              <w:rPr>
                <w:rFonts w:ascii="宋体" w:hAnsi="宋体" w:cs="宋体"/>
                <w:color w:val="000000"/>
                <w:kern w:val="0"/>
                <w:szCs w:val="21"/>
              </w:rPr>
              <w:t>15000元左右。故申请水质应急检测仪维修费约为7万元。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我单位承担地下食用水常规监测，关系到全市人民用水安全，为保证我市水源地水质监测精准，我站配备了气相、液相色谱仪等大型水质监测设备，设备单价在百万元左右，因仪器贵重，避免发生故障导致无法测量人民食用水安全，设备需定期更换配件及邀请仪器厂家专人过来保养。设备配件单价在30000元-80000元不等。故申请维修费约为12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6）河北省计量监督检测院每年分三次定期对我单位的环境采样仪器进行检</w:t>
            </w:r>
            <w:r>
              <w:rPr>
                <w:rFonts w:hint="eastAsia" w:ascii="宋体" w:hAnsi="宋体" w:cs="宋体"/>
                <w:color w:val="000000"/>
                <w:kern w:val="0"/>
                <w:szCs w:val="21"/>
              </w:rPr>
              <w:t>定，内容包括玻璃仪器玻璃器皿、水气声采样仪器等，故申请仪器检定费约</w:t>
            </w:r>
            <w:r>
              <w:rPr>
                <w:rFonts w:ascii="宋体" w:hAnsi="宋体" w:cs="宋体"/>
                <w:color w:val="000000"/>
                <w:kern w:val="0"/>
                <w:szCs w:val="21"/>
              </w:rPr>
              <w:t>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62600417GPX0010</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出国培训费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2.14</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我单位工程师</w:t>
            </w:r>
            <w:r>
              <w:rPr>
                <w:rFonts w:ascii="宋体" w:hAnsi="宋体" w:cs="宋体"/>
                <w:color w:val="000000"/>
                <w:kern w:val="0"/>
                <w:szCs w:val="21"/>
              </w:rPr>
              <w:t>2016年10月出国参加专业技术培训，按规定手续办理培训业务，所产生费用先由个人自行垫付，再由单位上报2017年预算报销。出国期间，住宿费双人间每人50欧元/天，共12天，共计600欧元；伙食费13天，每天50欧元，共计650欧元；培训费人均30欧元/天，培训9天，共计270欧元；签证费1076元人民币；保险费225元人民币；北京-布鲁塞尔往返机票暂按8635元人民币/人计算（具体数额以实际出票价格为准）。总费用共计1520欧元+9936元人民币，按欧元汇率1:7.52计算，共需人民币21367人民币（具体数额以出国期间汇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62600417GZX0007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专家咨询费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我单位需有资质认证才能进行环境监测工作。每年资质认证需由省计量院和省技术监督局严查审计。我站需请省级计量认证专家来我站评审，每次至少5名具有副高级职称专家到场，每人每次评审费用1000元，申请费用约为1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2）我单位需购买进口实验分析设备，需要组织专家对购买设备项目进行评审论证，每次至少5名具有副高级职称专家到场，每人每次论证费用1000元，申请专家论证费2万元。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62600417GZX0008</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监测采样费用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我站员工外出监测采样均为野外作业。此监测采样包含环评采样，项目竣工验收采样，民意信访采样，企业委托监测采样，全市环境常规监测采样等。每天凌晨6点半操纵仪器开始采样至夜间22点结束。每个点位监测需两人配合。其任务量巨大。而我站员工人员配备不足，员工加班加点非常辛苦，才能完成监测任务。故申请人员采样费用7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2）我站员工外出监测采样需要单位派遣业务车辆随行，车辆搭载监测采样仪器设备。我站每年不定期在上级机关的领导下对相关企业进行临时性夜间突击检查，车辆出动频繁，故申请公务车运行维护费10万元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62600417GZX0009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保安、保</w:t>
            </w:r>
            <w:r>
              <w:rPr>
                <w:rFonts w:ascii="宋体" w:hAnsi="宋体" w:cs="宋体"/>
                <w:color w:val="000000"/>
                <w:kern w:val="0"/>
                <w:szCs w:val="21"/>
              </w:rPr>
              <w:t xml:space="preserve"> 洁、办公 楼物业维护</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10.68</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我单位保安</w:t>
            </w:r>
            <w:r>
              <w:rPr>
                <w:rFonts w:ascii="宋体" w:hAnsi="宋体" w:cs="宋体"/>
                <w:color w:val="000000"/>
                <w:kern w:val="0"/>
                <w:szCs w:val="21"/>
              </w:rPr>
              <w:t>3人，一年共需支付安保公司保安费用64800元；保洁2人，一年共需支付保洁公司保洁费用42000元。故申请资金为10.68万元。</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44"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8" w:name="_Toc476241470"/>
      <w:r>
        <w:t>四、唐山市环境工程评估中心收支预算安排</w:t>
      </w:r>
      <w:bookmarkEnd w:id="18"/>
    </w:p>
    <w:p>
      <w:pPr>
        <w:jc w:val="center"/>
        <w:rPr>
          <w:rFonts w:ascii="宋体" w:hAnsi="宋体" w:eastAsia="宋体"/>
          <w:b/>
          <w:color w:val="000000"/>
          <w:sz w:val="44"/>
        </w:rPr>
      </w:pPr>
      <w:r>
        <w:rPr>
          <w:rFonts w:hint="eastAsia" w:ascii="宋体" w:hAnsi="宋体" w:eastAsia="宋体"/>
          <w:b/>
          <w:color w:val="000000"/>
          <w:sz w:val="44"/>
        </w:rPr>
        <w:t>唐山市环境工程评估中心职责任务与目标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spacing w:line="360" w:lineRule="auto"/>
        <w:ind w:firstLine="420" w:firstLineChars="200"/>
        <w:rPr>
          <w:rFonts w:ascii="宋体" w:hAnsi="宋体"/>
          <w:szCs w:val="21"/>
        </w:rPr>
      </w:pPr>
      <w:r>
        <w:rPr>
          <w:rFonts w:hint="eastAsia" w:ascii="宋体" w:hAnsi="宋体"/>
          <w:szCs w:val="21"/>
        </w:rPr>
        <w:t>负责承担本市实施环境影响评价法的技术支持工作，负责组织对辖区内重大开发和建设项目环境影响报告书、表的技术审查，负责组织环评单位资质考核及人员资质等级管理工作，负责开展辖区内审批的建设项目“三同时”竣工验收调查和验收报告技术审查工作；对环评单位编制的环境影响报告书（表）编制质量进行日常考核；负责承担本市环境影响规划文件的技术评估工作；负责组织相关人员参加环境影响评价培训等。</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spacing w:line="570" w:lineRule="exact"/>
        <w:ind w:firstLine="420" w:firstLineChars="200"/>
        <w:rPr>
          <w:rFonts w:ascii="仿宋_GB2312" w:eastAsia="仿宋_GB2312"/>
          <w:sz w:val="32"/>
          <w:szCs w:val="32"/>
        </w:rPr>
      </w:pPr>
      <w:r>
        <w:rPr>
          <w:rFonts w:hint="eastAsia" w:ascii="宋体" w:hAnsi="宋体"/>
          <w:szCs w:val="21"/>
        </w:rPr>
        <w:t xml:space="preserve"> </w:t>
      </w:r>
      <w:r>
        <w:rPr>
          <w:rFonts w:hint="eastAsia" w:ascii="仿宋_GB2312" w:eastAsia="仿宋_GB2312"/>
          <w:sz w:val="32"/>
          <w:szCs w:val="32"/>
        </w:rPr>
        <w:t>2017年，按照“十三五”环境影响评价改革实施方案，规范工作程序，提高业务素质，严格遵守廉政规定，努力为局党组科学决策提供技术支撑。</w:t>
      </w:r>
    </w:p>
    <w:p>
      <w:pPr>
        <w:spacing w:line="570" w:lineRule="exact"/>
        <w:ind w:firstLine="640" w:firstLineChars="200"/>
        <w:rPr>
          <w:rFonts w:ascii="新宋体" w:hAnsi="新宋体" w:eastAsia="新宋体" w:cs="新宋体"/>
          <w:color w:val="000000"/>
          <w:sz w:val="24"/>
          <w:szCs w:val="24"/>
        </w:rPr>
      </w:pPr>
      <w:r>
        <w:rPr>
          <w:rFonts w:hint="eastAsia" w:ascii="黑体" w:hAnsi="黑体" w:eastAsia="黑体" w:cs="仿宋"/>
          <w:sz w:val="32"/>
          <w:szCs w:val="32"/>
        </w:rPr>
        <w:t>发展思路：</w:t>
      </w:r>
      <w:r>
        <w:rPr>
          <w:rFonts w:hint="eastAsia" w:ascii="新宋体" w:hAnsi="新宋体" w:eastAsia="新宋体" w:cs="新宋体"/>
          <w:color w:val="000000"/>
          <w:sz w:val="24"/>
          <w:szCs w:val="24"/>
        </w:rPr>
        <w:t xml:space="preserve"> </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以改善我市环境质量为核心，以全面提高环评有效性为主线，以创新体制机制为动力，以“生态保护红线、环境质量底线、资源利用上线和环境准入负面清单”为手段，强化空间、总量、准入环境管理，划框子、定规则、查落实、强基础，不断改进和完善依法、科学、公开、廉洁、高效的环评管理体系。</w:t>
      </w:r>
    </w:p>
    <w:p>
      <w:pPr>
        <w:spacing w:line="570" w:lineRule="exact"/>
        <w:ind w:firstLine="640" w:firstLineChars="200"/>
        <w:rPr>
          <w:rFonts w:ascii="黑体" w:hAnsi="黑体" w:eastAsia="黑体" w:cs="仿宋"/>
          <w:sz w:val="32"/>
          <w:szCs w:val="32"/>
        </w:rPr>
      </w:pPr>
      <w:r>
        <w:rPr>
          <w:rFonts w:hint="eastAsia" w:ascii="黑体" w:hAnsi="黑体" w:eastAsia="黑体" w:cs="仿宋"/>
          <w:sz w:val="32"/>
          <w:szCs w:val="32"/>
        </w:rPr>
        <w:t>主要目标：</w:t>
      </w:r>
    </w:p>
    <w:p>
      <w:pPr>
        <w:spacing w:line="570" w:lineRule="exact"/>
        <w:ind w:firstLine="643" w:firstLineChars="200"/>
        <w:rPr>
          <w:rFonts w:ascii="仿宋_GB2312" w:eastAsia="仿宋_GB2312"/>
          <w:sz w:val="32"/>
          <w:szCs w:val="32"/>
        </w:rPr>
      </w:pPr>
      <w:r>
        <w:rPr>
          <w:rFonts w:hint="eastAsia" w:ascii="仿宋_GB2312" w:eastAsia="仿宋_GB2312"/>
          <w:b/>
          <w:bCs/>
          <w:sz w:val="32"/>
          <w:szCs w:val="32"/>
        </w:rPr>
        <w:t>制度日臻完善。</w:t>
      </w:r>
      <w:r>
        <w:rPr>
          <w:rFonts w:hint="eastAsia" w:ascii="仿宋_GB2312" w:eastAsia="仿宋_GB2312"/>
          <w:sz w:val="32"/>
          <w:szCs w:val="32"/>
        </w:rPr>
        <w:t>源头严防、过程严管、违法严惩的环评管理制度更加完善，环评违法责任追究机制不断健全，规划“未评先批”“评而不用”、项目“未批先建”现象得到有效遏制，项目环评分类管理和分级审批更加科学，环评、“三同时”与排污许可管理有效衔接，夯实环评的制度基础。</w:t>
      </w:r>
      <w:r>
        <w:rPr>
          <w:rFonts w:hint="eastAsia" w:ascii="仿宋_GB2312" w:eastAsia="仿宋_GB2312"/>
          <w:b/>
          <w:bCs/>
          <w:sz w:val="32"/>
          <w:szCs w:val="32"/>
        </w:rPr>
        <w:t>机制更加合理。</w:t>
      </w:r>
      <w:r>
        <w:rPr>
          <w:rFonts w:hint="eastAsia" w:ascii="仿宋_GB2312" w:eastAsia="仿宋_GB2312"/>
          <w:sz w:val="32"/>
          <w:szCs w:val="32"/>
        </w:rPr>
        <w:t>规划环评和项目环评联动管理得到深化和规范，县一级环评审批和监管能力不断提高，环评信息公开机制进一步强化，环评诚信体系不断完善，夯实环评的管理基础。</w:t>
      </w:r>
      <w:r>
        <w:rPr>
          <w:rFonts w:hint="eastAsia" w:ascii="仿宋_GB2312" w:eastAsia="仿宋_GB2312"/>
          <w:b/>
          <w:bCs/>
          <w:sz w:val="32"/>
          <w:szCs w:val="32"/>
        </w:rPr>
        <w:t>效能显著提高。</w:t>
      </w:r>
      <w:r>
        <w:rPr>
          <w:rFonts w:hint="eastAsia" w:ascii="仿宋_GB2312" w:eastAsia="仿宋_GB2312"/>
          <w:sz w:val="32"/>
          <w:szCs w:val="32"/>
        </w:rPr>
        <w:t>战略和规划环评顶层设计更加完善，约束性得到加强，环评预警体系初步建立，基于环境容量和生态红线的开发建设预警开始发挥作用。项目环评管理重点进一步聚焦，“三同时”主体责任更加明确，排污许可普遍实施，夯实环评的执行基础。</w:t>
      </w:r>
      <w:r>
        <w:rPr>
          <w:rFonts w:hint="eastAsia" w:ascii="仿宋_GB2312" w:eastAsia="仿宋_GB2312"/>
          <w:b/>
          <w:bCs/>
          <w:sz w:val="32"/>
          <w:szCs w:val="32"/>
        </w:rPr>
        <w:t>保障科学有力。</w:t>
      </w:r>
      <w:r>
        <w:rPr>
          <w:rFonts w:hint="eastAsia" w:ascii="仿宋_GB2312" w:eastAsia="仿宋_GB2312"/>
          <w:sz w:val="32"/>
          <w:szCs w:val="32"/>
        </w:rPr>
        <w:t>环评大数据系统初步建立，环评基础研究取得显著进展，导则规范体系进一步完善，评估队伍能力进一步提升，环评机构和人员管理更加规范，夯实环评的技术基础。</w:t>
      </w:r>
    </w:p>
    <w:p>
      <w:pPr>
        <w:spacing w:line="570" w:lineRule="exact"/>
        <w:ind w:firstLine="640" w:firstLineChars="200"/>
        <w:rPr>
          <w:rFonts w:ascii="黑体" w:hAnsi="黑体" w:eastAsia="黑体" w:cs="仿宋"/>
          <w:sz w:val="32"/>
          <w:szCs w:val="32"/>
        </w:rPr>
      </w:pPr>
      <w:r>
        <w:rPr>
          <w:rFonts w:hint="eastAsia" w:ascii="黑体" w:hAnsi="黑体" w:eastAsia="黑体" w:cs="仿宋"/>
          <w:sz w:val="32"/>
          <w:szCs w:val="32"/>
        </w:rPr>
        <w:t>主要措施：</w:t>
      </w:r>
    </w:p>
    <w:p>
      <w:pPr>
        <w:spacing w:line="570" w:lineRule="exact"/>
        <w:ind w:firstLine="640" w:firstLineChars="200"/>
        <w:rPr>
          <w:rFonts w:ascii="黑体" w:hAnsi="黑体" w:eastAsia="黑体" w:cs="仿宋"/>
          <w:sz w:val="32"/>
          <w:szCs w:val="32"/>
        </w:rPr>
      </w:pPr>
      <w:r>
        <w:rPr>
          <w:rFonts w:hint="eastAsia" w:ascii="黑体" w:hAnsi="黑体" w:eastAsia="黑体" w:cs="仿宋"/>
          <w:sz w:val="32"/>
          <w:szCs w:val="32"/>
        </w:rPr>
        <w:t>（一）积极参与科研合作</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结合局中心工作，积极与各处室合作，开展就我市环境质量改善方面和环评审批方面的研究，摸清底数，找出对策。重点开展唐山市化工集中区环境风险源调查与防范对策研究。</w:t>
      </w:r>
    </w:p>
    <w:p>
      <w:pPr>
        <w:ind w:firstLine="640" w:firstLineChars="200"/>
        <w:rPr>
          <w:rFonts w:ascii="黑体" w:hAnsi="黑体" w:eastAsia="黑体" w:cs="仿宋"/>
          <w:sz w:val="32"/>
          <w:szCs w:val="32"/>
        </w:rPr>
      </w:pPr>
      <w:r>
        <w:rPr>
          <w:rFonts w:hint="eastAsia" w:ascii="黑体" w:hAnsi="黑体" w:eastAsia="黑体" w:cs="仿宋"/>
          <w:sz w:val="32"/>
          <w:szCs w:val="32"/>
        </w:rPr>
        <w:t>（二）不断加强业务培训</w:t>
      </w:r>
    </w:p>
    <w:p>
      <w:pPr>
        <w:ind w:firstLine="640" w:firstLineChars="200"/>
        <w:rPr>
          <w:rFonts w:eastAsia="仿宋_GB2312"/>
          <w:color w:val="FF0000"/>
          <w:sz w:val="32"/>
          <w:szCs w:val="32"/>
        </w:rPr>
      </w:pPr>
      <w:r>
        <w:rPr>
          <w:rFonts w:hint="eastAsia" w:ascii="仿宋_GB2312" w:eastAsia="仿宋_GB2312"/>
          <w:sz w:val="32"/>
          <w:szCs w:val="32"/>
        </w:rPr>
        <w:t>面对新形势和新要求，认真学习研究第七次全国环境保护大会精神，学习环评法律法规和导则标准，同时，邀请省厅评估中心人员到我局授课，不断强化环评机构管理人员业务素质，提高环评管理水平。</w:t>
      </w:r>
    </w:p>
    <w:p>
      <w:pPr>
        <w:spacing w:line="570" w:lineRule="exact"/>
        <w:ind w:firstLine="640" w:firstLineChars="200"/>
        <w:rPr>
          <w:rFonts w:ascii="黑体" w:hAnsi="黑体" w:eastAsia="黑体" w:cs="仿宋"/>
          <w:sz w:val="32"/>
          <w:szCs w:val="32"/>
        </w:rPr>
      </w:pPr>
      <w:r>
        <w:rPr>
          <w:rFonts w:hint="eastAsia" w:ascii="黑体" w:hAnsi="黑体" w:eastAsia="黑体" w:cs="仿宋"/>
          <w:sz w:val="32"/>
          <w:szCs w:val="32"/>
        </w:rPr>
        <w:t>（三）加大重点项目跑办</w:t>
      </w:r>
    </w:p>
    <w:p>
      <w:pPr>
        <w:spacing w:line="570" w:lineRule="exact"/>
        <w:ind w:firstLine="640" w:firstLineChars="200"/>
        <w:rPr>
          <w:rFonts w:ascii="方正仿宋简体" w:eastAsia="方正仿宋简体"/>
          <w:sz w:val="32"/>
          <w:szCs w:val="32"/>
        </w:rPr>
      </w:pPr>
      <w:r>
        <w:rPr>
          <w:rFonts w:hint="eastAsia" w:ascii="仿宋_GB2312" w:eastAsia="仿宋_GB2312"/>
          <w:sz w:val="32"/>
          <w:szCs w:val="32"/>
        </w:rPr>
        <w:t>开辟快速审批通道，就项目相关情况积极主动与环保部、省环保厅及有关专家对接协调，就各方意见及时与项目单位沟通，为项目单位调整工作方向提供指导。</w:t>
      </w:r>
    </w:p>
    <w:p>
      <w:pPr>
        <w:ind w:firstLine="640" w:firstLineChars="200"/>
        <w:rPr>
          <w:rFonts w:eastAsia="仿宋_GB2312"/>
          <w:color w:val="FF0000"/>
          <w:sz w:val="32"/>
          <w:szCs w:val="32"/>
        </w:rPr>
      </w:pPr>
    </w:p>
    <w:p>
      <w:pPr>
        <w:spacing w:line="360" w:lineRule="auto"/>
        <w:ind w:firstLine="420" w:firstLineChars="200"/>
        <w:jc w:val="left"/>
        <w:rPr>
          <w:rFonts w:ascii="宋体" w:hAnsi="宋体"/>
          <w:szCs w:val="21"/>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9"/>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626005唐山市环境工程评估中心</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111.76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111.76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103.76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111.76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99.19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87.24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11.95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12.57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4.57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45"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626005唐山市环境工程评估中心</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99.19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99.19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一、工资福利支出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87.24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87.24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28.35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28.35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工作津贴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生活补贴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增发津补贴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2）（特殊）岗位津贴（补贴）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3）规范津补贴后仍继续保留的补贴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回族补贴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职工劳模荣誉津贴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4）上述项目之外的津贴补贴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通讯费补贴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女职工卫生费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26.64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26.64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11.96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11.96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3）基本医疗保险费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8.97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8.97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4）事业单位失业保险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5）事业单位工伤保险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6）职工生育保险费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5、绩效工资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31.44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31.44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19.73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19.73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9.35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9.35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6、其他工资福利支出</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1）人事代理人员工资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2）劳务派遣人员工资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3）其他编外人员工资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4）病假两个月以上期间的人员工资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5）教师超工作量津贴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6）各种加班工资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7）预留人员经费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二、对个人和家庭的补助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11.95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11.95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7.17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7.17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46"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正常公用经费预算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626005唐山市环境工程评估中心</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一、定额安排公用经费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7、公务交通补贴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8、其他商品和服务支出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二、按规定比例提取安排公用经费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三、非定额安排公用经费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47"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9"/>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626005唐山市环境工程评估中心</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（一）因公出国境费用</w:t>
            </w:r>
          </w:p>
        </w:tc>
        <w:tc>
          <w:tcPr>
            <w:tcW w:w="1843" w:type="dxa"/>
            <w:gridSpan w:val="2"/>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二、会议费</w:t>
            </w:r>
          </w:p>
        </w:tc>
        <w:tc>
          <w:tcPr>
            <w:tcW w:w="1843" w:type="dxa"/>
            <w:gridSpan w:val="2"/>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0.86</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0.86</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0.91</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0.91</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48"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专项公用经费支出安排表</w:t>
      </w:r>
    </w:p>
    <w:tbl>
      <w:tblPr>
        <w:tblStyle w:val="9"/>
        <w:tblW w:w="13970" w:type="dxa"/>
        <w:jc w:val="center"/>
        <w:tblInd w:w="-18" w:type="dxa"/>
        <w:tblLayout w:type="fixed"/>
        <w:tblCellMar>
          <w:top w:w="0" w:type="dxa"/>
          <w:left w:w="108" w:type="dxa"/>
          <w:bottom w:w="0" w:type="dxa"/>
          <w:right w:w="108" w:type="dxa"/>
        </w:tblCellMar>
      </w:tblPr>
      <w:tblGrid>
        <w:gridCol w:w="18"/>
        <w:gridCol w:w="1689"/>
        <w:gridCol w:w="5301"/>
        <w:gridCol w:w="1418"/>
        <w:gridCol w:w="1365"/>
        <w:gridCol w:w="52"/>
        <w:gridCol w:w="1418"/>
        <w:gridCol w:w="1417"/>
        <w:gridCol w:w="1105"/>
        <w:gridCol w:w="187"/>
      </w:tblGrid>
      <w:tr>
        <w:tblPrEx>
          <w:tblLayout w:type="fixed"/>
          <w:tblCellMar>
            <w:top w:w="0" w:type="dxa"/>
            <w:left w:w="108" w:type="dxa"/>
            <w:bottom w:w="0" w:type="dxa"/>
            <w:right w:w="108" w:type="dxa"/>
          </w:tblCellMar>
        </w:tblPrEx>
        <w:trPr>
          <w:gridBefore w:val="1"/>
          <w:gridAfter w:val="1"/>
          <w:wBefore w:w="18" w:type="dxa"/>
          <w:wAfter w:w="187" w:type="dxa"/>
          <w:cantSplit/>
          <w:trHeight w:val="270" w:hRule="atLeast"/>
          <w:tblHeader/>
          <w:jc w:val="center"/>
        </w:trPr>
        <w:tc>
          <w:tcPr>
            <w:tcW w:w="9773" w:type="dxa"/>
            <w:gridSpan w:val="4"/>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626005唐山市环境工程评估中心</w:t>
            </w:r>
            <w:r>
              <w:rPr>
                <w:rFonts w:hint="eastAsia" w:ascii="宋体" w:hAnsi="宋体" w:cs="宋体"/>
                <w:color w:val="000000"/>
                <w:kern w:val="0"/>
                <w:sz w:val="22"/>
              </w:rPr>
              <w:t>　</w:t>
            </w:r>
          </w:p>
        </w:tc>
        <w:tc>
          <w:tcPr>
            <w:tcW w:w="3992"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170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功能分类科目编码</w:t>
            </w:r>
          </w:p>
        </w:tc>
        <w:tc>
          <w:tcPr>
            <w:tcW w:w="53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预算支出项目</w:t>
            </w:r>
          </w:p>
        </w:tc>
        <w:tc>
          <w:tcPr>
            <w:tcW w:w="6962"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黑体" w:hAnsi="黑体" w:eastAsia="黑体" w:cs="宋体"/>
                <w:b/>
                <w:color w:val="000000"/>
                <w:kern w:val="0"/>
                <w:szCs w:val="21"/>
              </w:rPr>
            </w:pPr>
          </w:p>
        </w:tc>
        <w:tc>
          <w:tcPr>
            <w:tcW w:w="5301" w:type="dxa"/>
            <w:vMerge w:val="continue"/>
            <w:vAlign w:val="center"/>
          </w:tcPr>
          <w:p>
            <w:pPr>
              <w:widowControl/>
              <w:jc w:val="center"/>
              <w:rPr>
                <w:rFonts w:ascii="黑体" w:hAnsi="黑体" w:eastAsia="黑体" w:cs="宋体"/>
                <w:b/>
                <w:color w:val="000000"/>
                <w:kern w:val="0"/>
                <w:szCs w:val="21"/>
              </w:rPr>
            </w:pP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92"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宋体" w:hAnsi="宋体" w:cs="宋体"/>
                <w:b/>
                <w:color w:val="000000"/>
                <w:kern w:val="0"/>
                <w:sz w:val="22"/>
              </w:rPr>
            </w:pPr>
          </w:p>
        </w:tc>
        <w:tc>
          <w:tcPr>
            <w:tcW w:w="5301" w:type="dxa"/>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gridSpan w:val="2"/>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vMerge w:val="continue"/>
            <w:vAlign w:val="center"/>
          </w:tcPr>
          <w:p>
            <w:pPr>
              <w:widowControl/>
              <w:jc w:val="center"/>
              <w:rPr>
                <w:rFonts w:ascii="宋体" w:hAnsi="宋体" w:cs="宋体"/>
                <w:b/>
                <w:color w:val="000000"/>
                <w:kern w:val="0"/>
                <w:sz w:val="22"/>
              </w:rPr>
            </w:pPr>
          </w:p>
        </w:tc>
        <w:tc>
          <w:tcPr>
            <w:tcW w:w="1292"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707" w:type="dxa"/>
            <w:gridSpan w:val="2"/>
            <w:vMerge w:val="continue"/>
            <w:shd w:val="clear" w:color="auto" w:fill="auto"/>
            <w:vAlign w:val="center"/>
          </w:tcPr>
          <w:p>
            <w:pPr>
              <w:widowControl/>
              <w:jc w:val="left"/>
              <w:rPr>
                <w:rFonts w:ascii="宋体" w:hAnsi="宋体" w:cs="宋体"/>
                <w:color w:val="000000"/>
                <w:kern w:val="0"/>
                <w:szCs w:val="21"/>
              </w:rPr>
            </w:pPr>
          </w:p>
        </w:tc>
        <w:tc>
          <w:tcPr>
            <w:tcW w:w="5301"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292"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环境评估经费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49"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9"/>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626005唐山市环境工程评估中心</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50"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9"/>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626005唐山市环境工程评估中心</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艘</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51"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唐山市环境工程评估中心收支预算说明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r>
        <w:rPr>
          <w:rFonts w:hint="eastAsia"/>
        </w:rPr>
        <w:t>罚没预算收入10万元</w:t>
      </w:r>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9"/>
        <w:tblW w:w="14174" w:type="dxa"/>
        <w:jc w:val="center"/>
        <w:tblInd w:w="-23"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626005唐山市环境工程评估中心</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62600517GZX0001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环境评估经费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1、差旅费5万元，用于支付参加环保部、环保厅的会议、培训所产生的住宿费、差旅费等，以及到规定县市区监察执法的补助。</w:t>
            </w:r>
          </w:p>
          <w:p>
            <w:pPr>
              <w:widowControl/>
              <w:jc w:val="left"/>
              <w:rPr>
                <w:rFonts w:ascii="宋体" w:hAnsi="宋体" w:cs="宋体"/>
                <w:color w:val="000000"/>
                <w:kern w:val="0"/>
                <w:szCs w:val="21"/>
              </w:rPr>
            </w:pPr>
            <w:r>
              <w:rPr>
                <w:rFonts w:ascii="宋体" w:hAnsi="宋体" w:cs="宋体"/>
                <w:color w:val="000000"/>
                <w:kern w:val="0"/>
                <w:szCs w:val="21"/>
              </w:rPr>
              <w:t>2、办公费3万元，用于购买日常办公用品及专业书籍，学习资料的购买和相关专业报刊杂志的订阅。</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52"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9" w:name="_Toc476241471"/>
      <w:r>
        <w:t>五、唐山市环境执法监察支队收支预算安排</w:t>
      </w:r>
      <w:bookmarkEnd w:id="19"/>
    </w:p>
    <w:p>
      <w:pPr>
        <w:jc w:val="center"/>
        <w:rPr>
          <w:rFonts w:ascii="宋体" w:hAnsi="宋体" w:eastAsia="宋体"/>
          <w:b/>
          <w:color w:val="000000"/>
          <w:sz w:val="44"/>
        </w:rPr>
      </w:pPr>
      <w:r>
        <w:rPr>
          <w:rFonts w:hint="eastAsia" w:ascii="宋体" w:hAnsi="宋体" w:eastAsia="宋体"/>
          <w:b/>
          <w:color w:val="000000"/>
          <w:sz w:val="44"/>
        </w:rPr>
        <w:t>唐山市环境执法监察支队职责任务与目标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spacing w:line="360" w:lineRule="auto"/>
        <w:rPr>
          <w:rFonts w:ascii="宋体" w:hAnsi="宋体"/>
          <w:szCs w:val="21"/>
        </w:rPr>
      </w:pPr>
      <w:r>
        <w:rPr>
          <w:rFonts w:hint="eastAsia" w:ascii="宋体" w:hAnsi="宋体"/>
          <w:szCs w:val="21"/>
        </w:rPr>
        <w:t xml:space="preserve">    负责全市环境监察事项的督查督办工作；协助纪检监察部门对环保系统行政违法违纪案件进行调查，对执行环保法律法规情况进行稽查；负责全市环境监察标准化建设；负责全市环境保护、生态破坏和突发性事件、污染事故的应急处理；负责指导全市排污费征收；负责本市辖区内装机容量30万千瓦以下电力企业的现场监督检查和排污费的核定、收缴；负责辖区内排污者排污申报登记、年审工作和排污许可证发放前的技术性和事务性工作。</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rPr>
          <w:rFonts w:ascii="黑体" w:hAnsi="黑体" w:eastAsia="黑体" w:cs="宋体"/>
          <w:kern w:val="0"/>
          <w:sz w:val="32"/>
          <w:szCs w:val="32"/>
        </w:rPr>
      </w:pPr>
      <w:r>
        <w:rPr>
          <w:rFonts w:hint="eastAsia" w:ascii="黑体" w:hAnsi="黑体" w:eastAsia="黑体" w:cs="宋体"/>
          <w:kern w:val="0"/>
          <w:sz w:val="32"/>
          <w:szCs w:val="32"/>
        </w:rPr>
        <w:t>一、主要任务</w:t>
      </w:r>
    </w:p>
    <w:p>
      <w:pPr>
        <w:rPr>
          <w:rFonts w:ascii="仿宋" w:hAnsi="仿宋" w:eastAsia="仿宋" w:cs="宋体"/>
          <w:b/>
          <w:kern w:val="0"/>
          <w:sz w:val="32"/>
          <w:szCs w:val="32"/>
        </w:rPr>
      </w:pPr>
      <w:r>
        <w:rPr>
          <w:rFonts w:hint="eastAsia" w:ascii="仿宋" w:hAnsi="仿宋" w:eastAsia="仿宋" w:cs="宋体"/>
          <w:b/>
          <w:kern w:val="0"/>
          <w:sz w:val="32"/>
          <w:szCs w:val="32"/>
        </w:rPr>
        <w:t>（一）环境执法方面</w:t>
      </w:r>
    </w:p>
    <w:p>
      <w:pPr>
        <w:ind w:firstLine="640" w:firstLineChars="200"/>
        <w:rPr>
          <w:rFonts w:ascii="仿宋" w:hAnsi="仿宋" w:eastAsia="仿宋" w:cs="宋体"/>
          <w:color w:val="000000"/>
          <w:kern w:val="0"/>
          <w:sz w:val="32"/>
          <w:szCs w:val="32"/>
        </w:rPr>
      </w:pPr>
      <w:r>
        <w:rPr>
          <w:rFonts w:hint="eastAsia" w:ascii="仿宋" w:hAnsi="仿宋" w:eastAsia="仿宋" w:cs="宋体"/>
          <w:kern w:val="0"/>
          <w:sz w:val="32"/>
          <w:szCs w:val="32"/>
        </w:rPr>
        <w:t>开展“2017利剑斩污”专项行动。按照国家、省、市要求组织开展各类环保专项行动。运行、维护污染源动态管理数据库。实施污染源环境监管“双随机抽查”制度。</w:t>
      </w:r>
      <w:r>
        <w:rPr>
          <w:rFonts w:hint="eastAsia" w:ascii="仿宋" w:hAnsi="仿宋" w:eastAsia="仿宋" w:cs="宋体"/>
          <w:color w:val="000000"/>
          <w:kern w:val="0"/>
          <w:sz w:val="32"/>
          <w:szCs w:val="32"/>
        </w:rPr>
        <w:t>重污染天气应急响应期间企业达标排放情况督导检查。</w:t>
      </w:r>
    </w:p>
    <w:p>
      <w:pPr>
        <w:ind w:firstLine="640" w:firstLineChars="200"/>
        <w:rPr>
          <w:rFonts w:ascii="仿宋" w:hAnsi="仿宋" w:eastAsia="仿宋" w:cs="宋体"/>
          <w:color w:val="000000"/>
          <w:kern w:val="0"/>
          <w:sz w:val="32"/>
          <w:szCs w:val="32"/>
        </w:rPr>
      </w:pPr>
    </w:p>
    <w:p>
      <w:pPr>
        <w:rPr>
          <w:rFonts w:ascii="仿宋" w:hAnsi="仿宋" w:eastAsia="仿宋" w:cs="宋体"/>
          <w:b/>
          <w:kern w:val="0"/>
          <w:sz w:val="32"/>
          <w:szCs w:val="32"/>
        </w:rPr>
      </w:pPr>
      <w:r>
        <w:rPr>
          <w:rFonts w:hint="eastAsia" w:ascii="仿宋" w:hAnsi="仿宋" w:eastAsia="仿宋" w:cs="宋体"/>
          <w:b/>
          <w:kern w:val="0"/>
          <w:sz w:val="32"/>
          <w:szCs w:val="32"/>
        </w:rPr>
        <w:t>（二）排污收费方面</w:t>
      </w:r>
    </w:p>
    <w:p>
      <w:pPr>
        <w:ind w:firstLine="640" w:firstLineChars="200"/>
        <w:rPr>
          <w:rFonts w:ascii="Times New Roman" w:hAnsi="Times New Roman"/>
          <w:sz w:val="32"/>
          <w:szCs w:val="32"/>
        </w:rPr>
      </w:pPr>
      <w:r>
        <w:rPr>
          <w:rFonts w:hint="eastAsia" w:ascii="仿宋" w:hAnsi="仿宋" w:eastAsia="仿宋" w:cs="宋体"/>
          <w:kern w:val="0"/>
          <w:sz w:val="32"/>
          <w:szCs w:val="32"/>
        </w:rPr>
        <w:t>指导、督导各县（市、区）环保部门依法足额全面征收排污费，完成市本级排污费征收任务。</w:t>
      </w:r>
    </w:p>
    <w:p>
      <w:pPr>
        <w:rPr>
          <w:rFonts w:ascii="Times New Roman" w:hAnsi="Times New Roman"/>
          <w:sz w:val="32"/>
          <w:szCs w:val="32"/>
        </w:rPr>
      </w:pPr>
    </w:p>
    <w:p>
      <w:pPr>
        <w:rPr>
          <w:rFonts w:ascii="仿宋" w:hAnsi="仿宋" w:eastAsia="仿宋" w:cs="宋体"/>
          <w:b/>
          <w:kern w:val="0"/>
          <w:sz w:val="32"/>
          <w:szCs w:val="32"/>
        </w:rPr>
      </w:pPr>
      <w:r>
        <w:rPr>
          <w:rFonts w:hint="eastAsia" w:ascii="仿宋" w:hAnsi="仿宋" w:eastAsia="仿宋" w:cs="宋体"/>
          <w:b/>
          <w:kern w:val="0"/>
          <w:sz w:val="32"/>
          <w:szCs w:val="32"/>
        </w:rPr>
        <w:t>（三）稽查方面</w:t>
      </w:r>
    </w:p>
    <w:p>
      <w:pPr>
        <w:ind w:firstLine="405"/>
        <w:rPr>
          <w:rFonts w:ascii="仿宋" w:hAnsi="仿宋" w:eastAsia="仿宋" w:cs="宋体"/>
          <w:kern w:val="0"/>
          <w:sz w:val="32"/>
          <w:szCs w:val="32"/>
        </w:rPr>
      </w:pPr>
      <w:r>
        <w:rPr>
          <w:rFonts w:hint="eastAsia" w:ascii="仿宋" w:hAnsi="仿宋" w:eastAsia="仿宋" w:cs="宋体"/>
          <w:kern w:val="0"/>
          <w:sz w:val="32"/>
          <w:szCs w:val="32"/>
        </w:rPr>
        <w:t>按要求开展监察稽查、排污费稽查。</w:t>
      </w:r>
    </w:p>
    <w:p>
      <w:pPr>
        <w:rPr>
          <w:rFonts w:ascii="仿宋" w:hAnsi="仿宋" w:eastAsia="仿宋" w:cs="宋体"/>
          <w:kern w:val="0"/>
          <w:sz w:val="32"/>
          <w:szCs w:val="32"/>
        </w:rPr>
      </w:pPr>
    </w:p>
    <w:p>
      <w:pPr>
        <w:rPr>
          <w:rFonts w:ascii="仿宋" w:hAnsi="仿宋" w:eastAsia="仿宋" w:cs="宋体"/>
          <w:b/>
          <w:kern w:val="0"/>
          <w:sz w:val="32"/>
          <w:szCs w:val="32"/>
        </w:rPr>
      </w:pPr>
      <w:r>
        <w:rPr>
          <w:rFonts w:hint="eastAsia" w:ascii="仿宋" w:hAnsi="仿宋" w:eastAsia="仿宋" w:cs="宋体"/>
          <w:b/>
          <w:kern w:val="0"/>
          <w:sz w:val="32"/>
          <w:szCs w:val="32"/>
        </w:rPr>
        <w:t>（四）环境信访方面</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化解环境信访重点案件，主要是进京、赴省和群体访。做好三级信访件交办反馈工作，及时归档并进行信息公开。做好微信举报平台和河北省环境投诉受理系统平台及来电、来信、来访情况的交办、督促、反馈工作。做好唐山市城乡一体化服务管理信息系统平台及局长信箱举报件的交办、督促、反馈工作。</w:t>
      </w:r>
    </w:p>
    <w:p>
      <w:pPr>
        <w:ind w:firstLine="640" w:firstLineChars="200"/>
        <w:rPr>
          <w:rFonts w:ascii="仿宋" w:hAnsi="仿宋" w:eastAsia="仿宋" w:cs="宋体"/>
          <w:kern w:val="0"/>
          <w:sz w:val="32"/>
          <w:szCs w:val="32"/>
        </w:rPr>
      </w:pPr>
    </w:p>
    <w:p>
      <w:pPr>
        <w:rPr>
          <w:rFonts w:ascii="仿宋" w:hAnsi="仿宋" w:eastAsia="仿宋"/>
          <w:b/>
          <w:sz w:val="32"/>
          <w:szCs w:val="32"/>
        </w:rPr>
      </w:pPr>
      <w:r>
        <w:rPr>
          <w:rFonts w:hint="eastAsia" w:ascii="仿宋" w:hAnsi="仿宋" w:eastAsia="仿宋" w:cs="宋体"/>
          <w:b/>
          <w:kern w:val="0"/>
          <w:sz w:val="32"/>
          <w:szCs w:val="32"/>
        </w:rPr>
        <w:t>（五）环境应急方面</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按时段完成各级《突发环境事件应急预案》备案工作，及时处置突发环境应急事件。修订《重污染天气应急预案》，完成应对工作。</w:t>
      </w:r>
    </w:p>
    <w:p>
      <w:pPr>
        <w:ind w:firstLine="640" w:firstLineChars="200"/>
        <w:rPr>
          <w:rFonts w:ascii="仿宋" w:hAnsi="仿宋" w:eastAsia="仿宋" w:cs="宋体"/>
          <w:kern w:val="0"/>
          <w:sz w:val="32"/>
          <w:szCs w:val="32"/>
        </w:rPr>
      </w:pPr>
    </w:p>
    <w:p>
      <w:pPr>
        <w:rPr>
          <w:rFonts w:ascii="仿宋" w:hAnsi="仿宋" w:eastAsia="仿宋" w:cs="宋体"/>
          <w:b/>
          <w:kern w:val="0"/>
          <w:sz w:val="32"/>
          <w:szCs w:val="32"/>
        </w:rPr>
      </w:pPr>
      <w:r>
        <w:rPr>
          <w:rFonts w:hint="eastAsia" w:ascii="仿宋" w:hAnsi="仿宋" w:eastAsia="仿宋" w:cs="宋体"/>
          <w:b/>
          <w:kern w:val="0"/>
          <w:sz w:val="32"/>
          <w:szCs w:val="32"/>
        </w:rPr>
        <w:t>（六）在线监控方面</w:t>
      </w:r>
    </w:p>
    <w:p>
      <w:pPr>
        <w:ind w:firstLine="640" w:firstLineChars="200"/>
        <w:rPr>
          <w:rFonts w:ascii="Times New Roman" w:hAnsi="Times New Roman"/>
          <w:sz w:val="32"/>
          <w:szCs w:val="32"/>
        </w:rPr>
      </w:pPr>
      <w:r>
        <w:rPr>
          <w:rFonts w:hint="eastAsia" w:ascii="仿宋" w:hAnsi="仿宋" w:eastAsia="仿宋" w:cs="宋体"/>
          <w:kern w:val="0"/>
          <w:sz w:val="32"/>
          <w:szCs w:val="32"/>
        </w:rPr>
        <w:t>重点污染源监控点位超标、异常移送查处工作。拟完成2017年度国家重点监控企业污染源自动监测设备的数据有效性审核工作。安装废气重点污染源远程执法抽查系统。在全市范围内开展一次打击在线监控设备弄虚作假行动大检查活动。参与省厅下达的污染源（涉水、涉气）远程执法抽查行动。承办省厅交办的自动监控数据超标等违法案件查处工作。自主开展远程执法（涉水、涉气）远程执法抽查行动。</w:t>
      </w:r>
    </w:p>
    <w:p>
      <w:pPr>
        <w:rPr>
          <w:rFonts w:ascii="Times New Roman" w:hAnsi="Times New Roman"/>
          <w:sz w:val="32"/>
          <w:szCs w:val="32"/>
        </w:rPr>
      </w:pPr>
    </w:p>
    <w:p>
      <w:pPr>
        <w:rPr>
          <w:rFonts w:ascii="黑体" w:hAnsi="黑体" w:eastAsia="黑体" w:cs="宋体"/>
          <w:kern w:val="0"/>
          <w:sz w:val="32"/>
          <w:szCs w:val="32"/>
        </w:rPr>
      </w:pPr>
      <w:r>
        <w:rPr>
          <w:rFonts w:hint="eastAsia" w:ascii="黑体" w:hAnsi="黑体" w:eastAsia="黑体" w:cs="宋体"/>
          <w:kern w:val="0"/>
          <w:sz w:val="32"/>
          <w:szCs w:val="32"/>
        </w:rPr>
        <w:t>二、工作目标</w:t>
      </w:r>
    </w:p>
    <w:p>
      <w:pPr>
        <w:ind w:left="200"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认真贯彻落实《环保法》、《大气污染防治法》、《水污染防治行动计划》等法律法规，实施污染源日常监管</w:t>
      </w:r>
      <w:r>
        <w:rPr>
          <w:rFonts w:ascii="仿宋" w:hAnsi="仿宋" w:eastAsia="仿宋" w:cs="宋体"/>
          <w:kern w:val="0"/>
          <w:sz w:val="32"/>
          <w:szCs w:val="32"/>
        </w:rPr>
        <w:t>“</w:t>
      </w:r>
      <w:r>
        <w:rPr>
          <w:rFonts w:hint="eastAsia" w:ascii="仿宋" w:hAnsi="仿宋" w:eastAsia="仿宋" w:cs="宋体"/>
          <w:kern w:val="0"/>
          <w:sz w:val="32"/>
          <w:szCs w:val="32"/>
        </w:rPr>
        <w:t>双随机</w:t>
      </w:r>
      <w:r>
        <w:rPr>
          <w:rFonts w:ascii="仿宋" w:hAnsi="仿宋" w:eastAsia="仿宋" w:cs="宋体"/>
          <w:kern w:val="0"/>
          <w:sz w:val="32"/>
          <w:szCs w:val="32"/>
        </w:rPr>
        <w:t>”</w:t>
      </w:r>
      <w:r>
        <w:rPr>
          <w:rFonts w:hint="eastAsia" w:ascii="仿宋" w:hAnsi="仿宋" w:eastAsia="仿宋" w:cs="宋体"/>
          <w:kern w:val="0"/>
          <w:sz w:val="32"/>
          <w:szCs w:val="32"/>
        </w:rPr>
        <w:t>制度，组织开展各类环保专项执法检查，创新监管模式，持续加大环境执法力度，严厉打击环境违法行为，不断提高环境执法整体工作水平。</w:t>
      </w:r>
    </w:p>
    <w:p>
      <w:pPr>
        <w:ind w:left="200"/>
        <w:jc w:val="left"/>
        <w:rPr>
          <w:rFonts w:ascii="仿宋" w:hAnsi="仿宋" w:eastAsia="仿宋" w:cs="宋体"/>
          <w:kern w:val="0"/>
          <w:sz w:val="32"/>
          <w:szCs w:val="32"/>
        </w:rPr>
      </w:pPr>
      <w:r>
        <w:rPr>
          <w:rFonts w:hint="eastAsia" w:ascii="仿宋" w:hAnsi="仿宋" w:eastAsia="仿宋" w:cs="宋体"/>
          <w:kern w:val="0"/>
          <w:sz w:val="32"/>
          <w:szCs w:val="32"/>
        </w:rPr>
        <w:t>加强执法监管。继续实施污染源环境监管</w:t>
      </w:r>
      <w:r>
        <w:rPr>
          <w:rFonts w:ascii="仿宋" w:hAnsi="仿宋" w:eastAsia="仿宋" w:cs="宋体"/>
          <w:kern w:val="0"/>
          <w:sz w:val="32"/>
          <w:szCs w:val="32"/>
        </w:rPr>
        <w:t>“</w:t>
      </w:r>
      <w:r>
        <w:rPr>
          <w:rFonts w:hint="eastAsia" w:ascii="仿宋" w:hAnsi="仿宋" w:eastAsia="仿宋" w:cs="宋体"/>
          <w:kern w:val="0"/>
          <w:sz w:val="32"/>
          <w:szCs w:val="32"/>
        </w:rPr>
        <w:t>双随机抽查</w:t>
      </w:r>
      <w:r>
        <w:rPr>
          <w:rFonts w:ascii="仿宋" w:hAnsi="仿宋" w:eastAsia="仿宋" w:cs="宋体"/>
          <w:kern w:val="0"/>
          <w:sz w:val="32"/>
          <w:szCs w:val="32"/>
        </w:rPr>
        <w:t>”</w:t>
      </w:r>
      <w:r>
        <w:rPr>
          <w:rFonts w:hint="eastAsia" w:ascii="仿宋" w:hAnsi="仿宋" w:eastAsia="仿宋" w:cs="宋体"/>
          <w:kern w:val="0"/>
          <w:sz w:val="32"/>
          <w:szCs w:val="32"/>
        </w:rPr>
        <w:t>制度，按照国家、省、市要求组织开展各类环保专项行动，加大执法巡查力度，对群众反映的环境违法问题及时进行查处，坚决遏制各类环境违法行为。继续深化网格化环境监管体系工作，强化政府环境监管主体责任和企业环境保护社会主体责任，加强各相关职能部门之间的协调联动，推动开展区域间的联合环境执法，扩大群众监督范围，强化企业自律管理。</w:t>
      </w:r>
    </w:p>
    <w:p>
      <w:pPr>
        <w:ind w:left="200"/>
        <w:jc w:val="left"/>
        <w:rPr>
          <w:rFonts w:ascii="仿宋" w:hAnsi="仿宋" w:eastAsia="仿宋" w:cs="宋体"/>
          <w:kern w:val="0"/>
          <w:sz w:val="32"/>
          <w:szCs w:val="32"/>
        </w:rPr>
      </w:pPr>
    </w:p>
    <w:p>
      <w:pPr>
        <w:spacing w:line="360" w:lineRule="auto"/>
        <w:rPr>
          <w:rFonts w:ascii="宋体" w:hAnsi="宋体" w:cs="仿宋_GB2312"/>
          <w:sz w:val="32"/>
          <w:szCs w:val="32"/>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9"/>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626008唐山市环境执法监察支队</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770.49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770.49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725.16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45.33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770.49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623.33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544.16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79.17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147.16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101.83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45.33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53"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626008唐山市环境执法监察支队</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623.33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623.33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一、工资福利支出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544.16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544.16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184.14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184.14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179.59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179.59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174.88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174.88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工作津贴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69.95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69.95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生活补贴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104.93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104.93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增发津补贴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2）（特殊）岗位津贴（补贴）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3）规范津补贴后仍继续保留的补贴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回族补贴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职工劳模荣誉津贴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4）上述项目之外的津贴补贴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通讯费补贴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女职工卫生费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15.34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15.34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165.09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165.09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74.87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74.87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29.95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29.95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3）基本医疗保险费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59.33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59.33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4）事业单位失业保险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5）事业单位工伤保险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6）职工生育保险费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6、其他工资福利支出</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1）人事代理人员工资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2）劳务派遣人员工资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3）其他编外人员工资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4）病假两个月以上期间的人员工资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5）教师超工作量津贴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6）各种加班工资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7）预留人员经费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二、对个人和家庭的补助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79.17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79.17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44.92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44.92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33.91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33.91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29.92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29.92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54"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正常公用经费预算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626008唐山市环境执法监察支队</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101.83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101.83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一、定额安排公用经费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85.73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85.73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7.95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7.95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7、公务交通补贴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34.68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34.68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8、其他商品和服务支出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二、按规定比例提取安排公用经费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16.10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16.10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三、非定额安排公用经费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55"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9"/>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626008唐山市环境执法监察支队</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36.02</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36.02</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（一）因公出国境费用</w:t>
            </w:r>
          </w:p>
        </w:tc>
        <w:tc>
          <w:tcPr>
            <w:tcW w:w="1843" w:type="dxa"/>
            <w:gridSpan w:val="2"/>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1.02</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二、会议费</w:t>
            </w:r>
          </w:p>
        </w:tc>
        <w:tc>
          <w:tcPr>
            <w:tcW w:w="1843" w:type="dxa"/>
            <w:gridSpan w:val="2"/>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10.39</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10.39</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46.41</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46.41</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56"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专项公用经费支出安排表</w:t>
      </w:r>
    </w:p>
    <w:tbl>
      <w:tblPr>
        <w:tblStyle w:val="9"/>
        <w:tblW w:w="13970" w:type="dxa"/>
        <w:jc w:val="center"/>
        <w:tblInd w:w="-18" w:type="dxa"/>
        <w:tblLayout w:type="fixed"/>
        <w:tblCellMar>
          <w:top w:w="0" w:type="dxa"/>
          <w:left w:w="108" w:type="dxa"/>
          <w:bottom w:w="0" w:type="dxa"/>
          <w:right w:w="108" w:type="dxa"/>
        </w:tblCellMar>
      </w:tblPr>
      <w:tblGrid>
        <w:gridCol w:w="18"/>
        <w:gridCol w:w="1689"/>
        <w:gridCol w:w="5301"/>
        <w:gridCol w:w="1418"/>
        <w:gridCol w:w="1365"/>
        <w:gridCol w:w="52"/>
        <w:gridCol w:w="1418"/>
        <w:gridCol w:w="1417"/>
        <w:gridCol w:w="1105"/>
        <w:gridCol w:w="187"/>
      </w:tblGrid>
      <w:tr>
        <w:tblPrEx>
          <w:tblLayout w:type="fixed"/>
          <w:tblCellMar>
            <w:top w:w="0" w:type="dxa"/>
            <w:left w:w="108" w:type="dxa"/>
            <w:bottom w:w="0" w:type="dxa"/>
            <w:right w:w="108" w:type="dxa"/>
          </w:tblCellMar>
        </w:tblPrEx>
        <w:trPr>
          <w:gridBefore w:val="1"/>
          <w:gridAfter w:val="1"/>
          <w:wBefore w:w="18" w:type="dxa"/>
          <w:wAfter w:w="187" w:type="dxa"/>
          <w:cantSplit/>
          <w:trHeight w:val="270" w:hRule="atLeast"/>
          <w:tblHeader/>
          <w:jc w:val="center"/>
        </w:trPr>
        <w:tc>
          <w:tcPr>
            <w:tcW w:w="9773" w:type="dxa"/>
            <w:gridSpan w:val="4"/>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626008唐山市环境执法监察支队</w:t>
            </w:r>
            <w:r>
              <w:rPr>
                <w:rFonts w:hint="eastAsia" w:ascii="宋体" w:hAnsi="宋体" w:cs="宋体"/>
                <w:color w:val="000000"/>
                <w:kern w:val="0"/>
                <w:sz w:val="22"/>
              </w:rPr>
              <w:t>　</w:t>
            </w:r>
          </w:p>
        </w:tc>
        <w:tc>
          <w:tcPr>
            <w:tcW w:w="3992"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170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功能分类科目编码</w:t>
            </w:r>
          </w:p>
        </w:tc>
        <w:tc>
          <w:tcPr>
            <w:tcW w:w="53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预算支出项目</w:t>
            </w:r>
          </w:p>
        </w:tc>
        <w:tc>
          <w:tcPr>
            <w:tcW w:w="6962"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黑体" w:hAnsi="黑体" w:eastAsia="黑体" w:cs="宋体"/>
                <w:b/>
                <w:color w:val="000000"/>
                <w:kern w:val="0"/>
                <w:szCs w:val="21"/>
              </w:rPr>
            </w:pPr>
          </w:p>
        </w:tc>
        <w:tc>
          <w:tcPr>
            <w:tcW w:w="5301" w:type="dxa"/>
            <w:vMerge w:val="continue"/>
            <w:vAlign w:val="center"/>
          </w:tcPr>
          <w:p>
            <w:pPr>
              <w:widowControl/>
              <w:jc w:val="center"/>
              <w:rPr>
                <w:rFonts w:ascii="黑体" w:hAnsi="黑体" w:eastAsia="黑体" w:cs="宋体"/>
                <w:b/>
                <w:color w:val="000000"/>
                <w:kern w:val="0"/>
                <w:szCs w:val="21"/>
              </w:rPr>
            </w:pP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92"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宋体" w:hAnsi="宋体" w:cs="宋体"/>
                <w:b/>
                <w:color w:val="000000"/>
                <w:kern w:val="0"/>
                <w:sz w:val="22"/>
              </w:rPr>
            </w:pPr>
          </w:p>
        </w:tc>
        <w:tc>
          <w:tcPr>
            <w:tcW w:w="5301" w:type="dxa"/>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gridSpan w:val="2"/>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vMerge w:val="continue"/>
            <w:vAlign w:val="center"/>
          </w:tcPr>
          <w:p>
            <w:pPr>
              <w:widowControl/>
              <w:jc w:val="center"/>
              <w:rPr>
                <w:rFonts w:ascii="宋体" w:hAnsi="宋体" w:cs="宋体"/>
                <w:b/>
                <w:color w:val="000000"/>
                <w:kern w:val="0"/>
                <w:sz w:val="22"/>
              </w:rPr>
            </w:pPr>
          </w:p>
        </w:tc>
        <w:tc>
          <w:tcPr>
            <w:tcW w:w="1292"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707" w:type="dxa"/>
            <w:gridSpan w:val="2"/>
            <w:vMerge w:val="continue"/>
            <w:shd w:val="clear" w:color="auto" w:fill="auto"/>
            <w:vAlign w:val="center"/>
          </w:tcPr>
          <w:p>
            <w:pPr>
              <w:widowControl/>
              <w:jc w:val="left"/>
              <w:rPr>
                <w:rFonts w:ascii="宋体" w:hAnsi="宋体" w:cs="宋体"/>
                <w:color w:val="000000"/>
                <w:kern w:val="0"/>
                <w:szCs w:val="21"/>
              </w:rPr>
            </w:pPr>
          </w:p>
        </w:tc>
        <w:tc>
          <w:tcPr>
            <w:tcW w:w="5301"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292"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45.33</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45.33</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行车记录仪</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电动打孔器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车载</w:t>
            </w:r>
            <w:r>
              <w:rPr>
                <w:rFonts w:ascii="宋体" w:hAnsi="宋体" w:cs="宋体"/>
                <w:color w:val="000000"/>
                <w:kern w:val="0"/>
                <w:szCs w:val="21"/>
              </w:rPr>
              <w:t>GPS卫星定位仪</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0.48</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0.48</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手持</w:t>
            </w:r>
            <w:r>
              <w:rPr>
                <w:rFonts w:ascii="宋体" w:hAnsi="宋体" w:cs="宋体"/>
                <w:color w:val="000000"/>
                <w:kern w:val="0"/>
                <w:szCs w:val="21"/>
              </w:rPr>
              <w:t>GPS定位仪</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执法监察业务培训费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环境监察执法文书专项印刷</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环境监察专项行动及日常监管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全市应急处理</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征收排污费保障工作</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57"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9"/>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626008唐山市环境执法监察支队</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参公单位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58"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9"/>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626008唐山市环境执法监察支队</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参公单位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艘</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59"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唐山市环境执法监察支队收支预算说明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r>
        <w:rPr>
          <w:rFonts w:hint="eastAsia"/>
        </w:rPr>
        <w:t>罚没收入预算50万元。</w:t>
      </w:r>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9"/>
        <w:tblW w:w="14174" w:type="dxa"/>
        <w:jc w:val="center"/>
        <w:tblInd w:w="-23"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626008唐山市环境执法监察支队</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45.33</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62600817GGZ0001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行车记录仪</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在执法过程中需要配备的设备</w:t>
            </w:r>
            <w:r>
              <w:rPr>
                <w:rFonts w:ascii="宋体" w:hAnsi="宋体" w:cs="宋体"/>
                <w:color w:val="000000"/>
                <w:kern w:val="0"/>
                <w:szCs w:val="21"/>
              </w:rPr>
              <w:t>,12套行车记录仪，12套，每套500元，总计6000元。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62600817GGZ0002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电动打孔器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在执法及办公过程中需要配备的设备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62600817GGZ0003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车载</w:t>
            </w:r>
            <w:r>
              <w:rPr>
                <w:rFonts w:ascii="宋体" w:hAnsi="宋体" w:cs="宋体"/>
                <w:color w:val="000000"/>
                <w:kern w:val="0"/>
                <w:szCs w:val="21"/>
              </w:rPr>
              <w:t>GPS卫星定位仪</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0.48</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在执法及办公过程中需要配备的设备，需购置</w:t>
            </w:r>
            <w:r>
              <w:rPr>
                <w:rFonts w:ascii="宋体" w:hAnsi="宋体" w:cs="宋体"/>
                <w:color w:val="000000"/>
                <w:kern w:val="0"/>
                <w:szCs w:val="21"/>
              </w:rPr>
              <w:t>10套，每套480元，总计4800元。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62600817GGZ0004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手持</w:t>
            </w:r>
            <w:r>
              <w:rPr>
                <w:rFonts w:ascii="宋体" w:hAnsi="宋体" w:cs="宋体"/>
                <w:color w:val="000000"/>
                <w:kern w:val="0"/>
                <w:szCs w:val="21"/>
              </w:rPr>
              <w:t>GPS定位仪</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在执法及办公过程中需要配备的设备，需购置</w:t>
            </w:r>
            <w:r>
              <w:rPr>
                <w:rFonts w:ascii="宋体" w:hAnsi="宋体" w:cs="宋体"/>
                <w:color w:val="000000"/>
                <w:kern w:val="0"/>
                <w:szCs w:val="21"/>
              </w:rPr>
              <w:t>3套，每套4000元，总计12000元。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62600817GPX0005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执法监察业务培训费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1、专项执法监察业务培训。对全市环保监察人员进行业务知识培训，每次120人，培训2天，培训2次，2万元。</w:t>
            </w:r>
          </w:p>
          <w:p>
            <w:pPr>
              <w:widowControl/>
              <w:jc w:val="left"/>
              <w:rPr>
                <w:rFonts w:ascii="宋体" w:hAnsi="宋体" w:cs="宋体"/>
                <w:color w:val="000000"/>
                <w:kern w:val="0"/>
                <w:szCs w:val="21"/>
              </w:rPr>
            </w:pPr>
            <w:r>
              <w:rPr>
                <w:rFonts w:ascii="宋体" w:hAnsi="宋体" w:cs="宋体"/>
                <w:color w:val="000000"/>
                <w:kern w:val="0"/>
                <w:szCs w:val="21"/>
              </w:rPr>
              <w:t>2、环境应急管理、重点行业排污申报收费培训。对全市环保应急监察人员、排污收费人员，每次180人，培训2天，培训1次，1万元。</w:t>
            </w:r>
          </w:p>
          <w:p>
            <w:pPr>
              <w:widowControl/>
              <w:jc w:val="left"/>
              <w:rPr>
                <w:rFonts w:ascii="宋体" w:hAnsi="宋体" w:cs="宋体"/>
                <w:color w:val="000000"/>
                <w:kern w:val="0"/>
                <w:szCs w:val="21"/>
              </w:rPr>
            </w:pPr>
            <w:r>
              <w:rPr>
                <w:rFonts w:ascii="宋体" w:hAnsi="宋体" w:cs="宋体"/>
                <w:color w:val="000000"/>
                <w:kern w:val="0"/>
                <w:szCs w:val="21"/>
              </w:rPr>
              <w:t>3、远程执法系统培训。对全市环保监察人员进行远程执法平台及取样统业务培训，每次120人，培训2天，培训2次，2万元。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62600817GYS0006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环境监察执法文书专项印刷</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印刷费</w:t>
            </w:r>
            <w:r>
              <w:rPr>
                <w:rFonts w:ascii="宋体" w:hAnsi="宋体" w:cs="宋体"/>
                <w:color w:val="000000"/>
                <w:kern w:val="0"/>
                <w:szCs w:val="21"/>
              </w:rPr>
              <w:t>8万元，用于日常行政处罚现场笔录、违法行为改正通知书、处罚告知书和决定书等各种报告书、执法文书的印刷制作。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62600817GZX0007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环境监察专项行动及日常监管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1、办公费1万元，主要用于环境监察日常监管所产生的费用。</w:t>
            </w:r>
          </w:p>
          <w:p>
            <w:pPr>
              <w:widowControl/>
              <w:jc w:val="left"/>
              <w:rPr>
                <w:rFonts w:ascii="宋体" w:hAnsi="宋体" w:cs="宋体"/>
                <w:color w:val="000000"/>
                <w:kern w:val="0"/>
                <w:szCs w:val="21"/>
              </w:rPr>
            </w:pPr>
            <w:r>
              <w:rPr>
                <w:rFonts w:ascii="宋体" w:hAnsi="宋体" w:cs="宋体"/>
                <w:color w:val="000000"/>
                <w:kern w:val="0"/>
                <w:szCs w:val="21"/>
              </w:rPr>
              <w:t>2、差旅费6万元，用于支付人员出差住宿费，旅费，伙食补助等各项费用以及工作人员日常监管外出的差旅补助。</w:t>
            </w:r>
          </w:p>
          <w:p>
            <w:pPr>
              <w:widowControl/>
              <w:jc w:val="left"/>
              <w:rPr>
                <w:rFonts w:ascii="宋体" w:hAnsi="宋体" w:cs="宋体"/>
                <w:color w:val="000000"/>
                <w:kern w:val="0"/>
                <w:szCs w:val="21"/>
              </w:rPr>
            </w:pPr>
            <w:r>
              <w:rPr>
                <w:rFonts w:ascii="宋体" w:hAnsi="宋体" w:cs="宋体"/>
                <w:color w:val="000000"/>
                <w:kern w:val="0"/>
                <w:szCs w:val="21"/>
              </w:rPr>
              <w:t>3、其他交通费用10万元，用于执法监察业务用车的维修保养。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62600817GZX0008</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全市应急处理</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1、咨询费3万元，用于支付聘请专家费，以完善我市环境应急处理方案，提高我单位环境应急处理能力；</w:t>
            </w:r>
          </w:p>
          <w:p>
            <w:pPr>
              <w:widowControl/>
              <w:jc w:val="left"/>
              <w:rPr>
                <w:rFonts w:ascii="宋体" w:hAnsi="宋体" w:cs="宋体"/>
                <w:color w:val="000000"/>
                <w:kern w:val="0"/>
                <w:szCs w:val="21"/>
              </w:rPr>
            </w:pPr>
            <w:r>
              <w:rPr>
                <w:rFonts w:ascii="宋体" w:hAnsi="宋体" w:cs="宋体"/>
                <w:color w:val="000000"/>
                <w:kern w:val="0"/>
                <w:szCs w:val="21"/>
              </w:rPr>
              <w:t>2、其他交通费用5万元，用于处理环境污染事件、市民举报等紧急事件时，应急车辆所产生的费用。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62600817GZX0009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征收排污费保障工作</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我单位明年新增执法人员的差旅费，按照相关要求，新增人员需到环保厅参加进行相关法律知识，专业知识的教育培训以及考取执法证，根据差旅费管理办法，我单位拟申请</w:t>
            </w:r>
            <w:r>
              <w:rPr>
                <w:rFonts w:ascii="宋体" w:hAnsi="宋体" w:cs="宋体"/>
                <w:color w:val="000000"/>
                <w:kern w:val="0"/>
                <w:szCs w:val="21"/>
              </w:rPr>
              <w:t>5万元用于支付明年新增人员参加培训产生的差旅费用</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60"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0" w:name="_Toc476241472"/>
      <w:r>
        <w:t>六、唐山市环境保护局路南区分局收支预算安排</w:t>
      </w:r>
      <w:bookmarkEnd w:id="20"/>
    </w:p>
    <w:p>
      <w:pPr>
        <w:jc w:val="center"/>
        <w:rPr>
          <w:rFonts w:ascii="宋体" w:hAnsi="宋体" w:eastAsia="宋体"/>
          <w:b/>
          <w:color w:val="000000"/>
          <w:sz w:val="44"/>
        </w:rPr>
      </w:pPr>
      <w:r>
        <w:rPr>
          <w:rFonts w:hint="eastAsia" w:ascii="宋体" w:hAnsi="宋体" w:eastAsia="宋体"/>
          <w:b/>
          <w:color w:val="000000"/>
          <w:sz w:val="44"/>
        </w:rPr>
        <w:t>唐山市环境保护局路南区分局职责任务与目标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tabs>
          <w:tab w:val="left" w:pos="3315"/>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360" w:lineRule="auto"/>
        <w:ind w:firstLine="420" w:firstLineChars="200"/>
        <w:rPr>
          <w:rFonts w:ascii="宋体" w:hAnsi="宋体"/>
        </w:rPr>
      </w:pPr>
      <w:r>
        <w:rPr>
          <w:rFonts w:ascii="宋体" w:hAnsi="宋体"/>
        </w:rPr>
        <w:t>1、唐山市环境保护局路南区分局由市区双重领导，以上级主管部门领导为主，是对本区环境保护工作依法实施统一监督管理的职能部门；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2、贯彻执行国家和省、市关于环境保护的方针政策、法律、法规和规章；</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3、编制本区环境保护规划、计划，负责环境保护责任目标管理工作；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4、负责区属以下企业的污染防治工作，完成市局下达的工业污染物申报登记工作；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5、负责本区内建设项目审批管理、自然保护、排污收费、辐射管理和环境监察工作；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6、积极开展环境宣传教育工作，处理好本区来信来访和污染事故的处理；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 xml:space="preserve"> 7、做好市环保局和区政府临时交办的工作。</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1、以污染物总量控制为龙头，深化污染防治工作；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5" w:firstLineChars="150"/>
        <w:rPr>
          <w:rFonts w:ascii="宋体" w:hAnsi="宋体"/>
        </w:rPr>
      </w:pPr>
      <w:r>
        <w:rPr>
          <w:rFonts w:ascii="宋体" w:hAnsi="宋体"/>
        </w:rPr>
        <w:t xml:space="preserve"> 2、突出重点，深化工业污染源治理；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00"/>
        <w:rPr>
          <w:rFonts w:ascii="宋体" w:hAnsi="宋体"/>
        </w:rPr>
      </w:pPr>
      <w:r>
        <w:rPr>
          <w:rFonts w:ascii="宋体" w:hAnsi="宋体"/>
        </w:rPr>
        <w:t>3、进行大气污染防治，改善城市大气环境质量；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00"/>
        <w:rPr>
          <w:rFonts w:ascii="宋体" w:hAnsi="宋体"/>
        </w:rPr>
      </w:pPr>
      <w:r>
        <w:rPr>
          <w:rFonts w:ascii="宋体" w:hAnsi="宋体"/>
        </w:rPr>
        <w:t>4、加强建设项目管理，严格控制新污染源的产生；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00"/>
        <w:rPr>
          <w:rFonts w:ascii="宋体" w:hAnsi="宋体"/>
        </w:rPr>
      </w:pPr>
      <w:r>
        <w:rPr>
          <w:rFonts w:ascii="宋体" w:hAnsi="宋体"/>
        </w:rPr>
        <w:t>5、深化自然生态环境保护工作；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00"/>
        <w:rPr>
          <w:rFonts w:ascii="宋体" w:hAnsi="宋体"/>
        </w:rPr>
      </w:pPr>
      <w:r>
        <w:rPr>
          <w:rFonts w:ascii="宋体" w:hAnsi="宋体"/>
        </w:rPr>
        <w:t>6、切实加强环境法制建设，全面实行</w:t>
      </w:r>
      <w:r>
        <w:rPr>
          <w:rFonts w:hint="eastAsia" w:ascii="宋体" w:hAnsi="宋体"/>
        </w:rPr>
        <w:t>排污</w:t>
      </w:r>
      <w:r>
        <w:rPr>
          <w:rFonts w:ascii="宋体" w:hAnsi="宋体"/>
        </w:rPr>
        <w:t>总量收费；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00"/>
        <w:rPr>
          <w:rFonts w:ascii="宋体" w:hAnsi="宋体"/>
        </w:rPr>
      </w:pPr>
      <w:r>
        <w:rPr>
          <w:rFonts w:ascii="宋体" w:hAnsi="宋体"/>
        </w:rPr>
        <w:t>7、搞好绿色创建和环境宣传教育工作；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00"/>
        <w:rPr>
          <w:rFonts w:ascii="宋体" w:hAnsi="宋体"/>
        </w:rPr>
      </w:pPr>
      <w:r>
        <w:rPr>
          <w:rFonts w:ascii="宋体" w:hAnsi="宋体"/>
        </w:rPr>
        <w:t>8、发挥自身优势，为区域经济发展保驾护航；</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00"/>
        <w:rPr>
          <w:rFonts w:ascii="宋体" w:hAnsi="宋体"/>
        </w:rPr>
      </w:pPr>
      <w:r>
        <w:rPr>
          <w:rFonts w:ascii="宋体" w:hAnsi="宋体"/>
        </w:rPr>
        <w:t>9、进一步加强精神文明建设和环保队伍建设 。</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9"/>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626010唐山市环境保护局路南区分局</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168.43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168.43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168.43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168.43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168.43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144.73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23.7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61"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626010唐山市环境保护局路南区分局</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168.43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168.43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一、工资福利支出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144.73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144.73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47.79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47.79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47.53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47.53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46.30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46.30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工作津贴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18.52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18.52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生活补贴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27.78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27.78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增发津补贴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2）（特殊）岗位津贴（补贴）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3）规范津补贴后仍继续保留的补贴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回族补贴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职工劳模荣誉津贴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4）上述项目之外的津贴补贴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通讯费补贴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女职工卫生费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45.47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45.47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19.61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19.61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7.84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7.84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3）基本医疗保险费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17.77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17.77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4）事业单位失业保险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5）事业单位工伤保险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6）职工生育保险费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6、其他工资福利支出</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1）人事代理人员工资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2）劳务派遣人员工资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3）其他编外人员工资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4）病假两个月以上期间的人员工资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5）教师超工作量津贴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6）各种加班工资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7）预留人员经费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二、对个人和家庭的补助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23.70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23.70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11.76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11.76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11.71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11.71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7.76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7.76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3.95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62"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正常公用经费预算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626010唐山市环境保护局路南区分局</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一、定额安排公用经费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7、公务交通补贴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8、其他商品和服务支出</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二、按规定比例提取安排公用经费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三、非定额安排公用经费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63"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9"/>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626010唐山市环境保护局路南区分局</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（一）因公出国境费用</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二、会议费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64"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9"/>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626010唐山市环境保护局路南区分局</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参公单位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65"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9"/>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626010唐山市环境保护局路南区分局</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参公单位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艘</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66"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唐山市环境保护局路南区分局收支预算说明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1" w:name="_Toc476241473"/>
      <w:r>
        <w:t>七、唐山市环境保护局路北区分局收支预算安排</w:t>
      </w:r>
      <w:bookmarkEnd w:id="21"/>
    </w:p>
    <w:p>
      <w:pPr>
        <w:jc w:val="center"/>
        <w:rPr>
          <w:rFonts w:ascii="宋体" w:hAnsi="宋体" w:eastAsia="宋体"/>
          <w:b/>
          <w:color w:val="000000"/>
          <w:sz w:val="44"/>
        </w:rPr>
      </w:pPr>
      <w:r>
        <w:rPr>
          <w:rFonts w:hint="eastAsia" w:ascii="宋体" w:hAnsi="宋体" w:eastAsia="宋体"/>
          <w:b/>
          <w:color w:val="000000"/>
          <w:sz w:val="44"/>
        </w:rPr>
        <w:t>唐山市环境保护局路北区分局职责任务与目标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1、贯彻执行国家和省、市关于环境保护的方针政策、法律、法规和规章。</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2、编制本区环境保护规划、计划，负责环境保护责任目标管理工作。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firstLineChars="200"/>
        <w:rPr>
          <w:rFonts w:ascii="宋体" w:hAnsi="宋体"/>
        </w:rPr>
      </w:pPr>
      <w:r>
        <w:rPr>
          <w:rFonts w:ascii="宋体" w:hAnsi="宋体"/>
        </w:rPr>
        <w:t xml:space="preserve"> 3、负责区属以下企业的污染防治工作；参与区属企业的污染源治理立项、预审查和日常监督管理、验收。完成市局下达的工业污染物排放申报登记工作。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firstLineChars="200"/>
        <w:rPr>
          <w:rFonts w:ascii="宋体" w:hAnsi="宋体"/>
        </w:rPr>
      </w:pPr>
      <w:r>
        <w:rPr>
          <w:rFonts w:ascii="宋体" w:hAnsi="宋体"/>
        </w:rPr>
        <w:t xml:space="preserve"> 4、负责本区内投资在300万元以下建设项目的审批和验收工作，并协助市环保局做好其它建设项目的管理工作。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5、负责本区内的自然保护工作。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 xml:space="preserve"> 6、负责本区内属以下单位的排污收费和区属以上单位的代收工作。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 xml:space="preserve"> 7、负责本区内环境统计、环境信息、来信来访、污染纠纷和污染事故的处理工作。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525" w:leftChars="250" w:firstLine="420" w:firstLineChars="200"/>
        <w:rPr>
          <w:rFonts w:ascii="宋体" w:hAnsi="宋体"/>
        </w:rPr>
      </w:pPr>
      <w:r>
        <w:rPr>
          <w:rFonts w:ascii="宋体" w:hAnsi="宋体"/>
        </w:rPr>
        <w:t xml:space="preserve">8、负责本区内环境宣传教育工作；负责培训本区企、事业单位专兼职环境保护工作人员。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 xml:space="preserve"> 9、承办市环保局和本区政府交办的其它事项。</w:t>
      </w:r>
    </w:p>
    <w:p>
      <w:pPr>
        <w:spacing w:line="360" w:lineRule="auto"/>
        <w:ind w:firstLine="420" w:firstLineChars="200"/>
      </w:pP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firstLineChars="200"/>
        <w:rPr>
          <w:rFonts w:ascii="宋体" w:hAnsi="宋体"/>
        </w:rPr>
      </w:pPr>
      <w:r>
        <w:rPr>
          <w:rFonts w:ascii="宋体" w:hAnsi="宋体"/>
        </w:rPr>
        <w:t>1、深化污染源治理力度，继续加强钢铁、水泥等大型企业的治理力度和监督管理，确保其稳定达标。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2、进一步推行清洁生产，严把新建项目审批关，对违规建设项目，依法进行查处。</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525" w:leftChars="250" w:firstLine="420" w:firstLineChars="200"/>
        <w:rPr>
          <w:rFonts w:ascii="宋体" w:hAnsi="宋体" w:eastAsia="宋体"/>
          <w:sz w:val="21"/>
          <w:lang w:eastAsia="zh-CN"/>
        </w:rPr>
      </w:pPr>
      <w:r>
        <w:rPr>
          <w:rFonts w:ascii="宋体" w:hAnsi="宋体" w:eastAsia="宋体"/>
          <w:sz w:val="21"/>
          <w:lang w:eastAsia="zh-CN"/>
        </w:rPr>
        <w:t>3、进一步搞好环境信访和提案、建议承办工作，发挥群众监督作用，切实为群众排忧解难。</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sz w:val="21"/>
          <w:lang w:eastAsia="zh-CN"/>
        </w:rPr>
      </w:pPr>
      <w:r>
        <w:rPr>
          <w:rFonts w:ascii="宋体" w:hAnsi="宋体" w:eastAsia="宋体"/>
          <w:sz w:val="21"/>
          <w:lang w:eastAsia="zh-CN"/>
        </w:rPr>
        <w:t>4、与相关部门配合，加强现场执法力度，形成多方位的综合执法体系。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5、继续深入开展“改善环境质量、保障群众健康”的专项行动。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525" w:leftChars="250" w:firstLine="420" w:firstLineChars="200"/>
        <w:rPr>
          <w:rFonts w:ascii="宋体" w:hAnsi="宋体"/>
        </w:rPr>
      </w:pPr>
      <w:r>
        <w:rPr>
          <w:rFonts w:ascii="宋体" w:hAnsi="宋体"/>
        </w:rPr>
        <w:t>6、深入开展行风建设和机关效能建设，进一步落实党风廉政建设责任制和社会公开承诺制，努力提高全体职工的思想道德素质、依法行政水平和办事效率。</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9"/>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626012唐山市环境保护局路北区分局</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193.12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193.12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193.12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193.12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193.12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167.95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25.17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67"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626012唐山市环境保护局路北区分局</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193.12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193.12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一、工资福利支出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167.95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167.95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58.33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58.33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53.43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53.43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51.70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51.70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工作津贴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20.68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20.68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生活补贴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31.02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31.02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4）上述项目之外的津贴补贴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通讯费补贴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女职工卫生费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51.33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51.33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22.98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22.98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9.19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9.19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3）基本医疗保险费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18.87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18.87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4）事业单位失业保险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5）事业单位工伤保险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6）职工生育保险费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6、其他工资福利支出</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4）病假两个月以上期间的人员工资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5）教师超工作量津贴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6）各种加班工资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7）预留人员经费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二、对个人和家庭的补助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25.17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25.17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13.79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13.79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9.17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9.17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68"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正常公用经费预算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626012唐山市环境保护局路北区分局</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一、定额安排公用经费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7、公务交通补贴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二、按规定比例提取安排公用经费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三、非定额安排公用经费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69"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9"/>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626012唐山市环境保护局路北区分局</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（一）因公出国境费用</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二、会议费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70"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9"/>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626012唐山市环境保护局路北区分局</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参公单位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71"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9"/>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626012唐山市环境保护局路北区分局</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参公单位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艘</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456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72"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唐山市环境保护局路北区分局收支预算说明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2" w:name="_Toc476241474"/>
      <w:r>
        <w:t>八、唐山市环境保护局古冶区分局收支预算安排</w:t>
      </w:r>
      <w:bookmarkEnd w:id="22"/>
    </w:p>
    <w:p>
      <w:pPr>
        <w:jc w:val="center"/>
        <w:rPr>
          <w:rFonts w:ascii="宋体" w:hAnsi="宋体" w:eastAsia="宋体"/>
          <w:b/>
          <w:color w:val="000000"/>
          <w:sz w:val="44"/>
        </w:rPr>
      </w:pPr>
      <w:r>
        <w:rPr>
          <w:rFonts w:hint="eastAsia" w:ascii="宋体" w:hAnsi="宋体" w:eastAsia="宋体"/>
          <w:b/>
          <w:color w:val="000000"/>
          <w:sz w:val="44"/>
        </w:rPr>
        <w:t>唐山市环境保护局古冶区分局职责任务与目标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szCs w:val="21"/>
        </w:rPr>
      </w:pPr>
      <w:r>
        <w:rPr>
          <w:rFonts w:hint="eastAsia" w:ascii="宋体" w:hAnsi="宋体"/>
          <w:szCs w:val="21"/>
        </w:rPr>
        <w:t>贯彻执行国家和省、市关于环境保护的方针政策、法律、法规和规章。</w:t>
      </w:r>
    </w:p>
    <w:p>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szCs w:val="21"/>
        </w:rPr>
      </w:pPr>
      <w:r>
        <w:rPr>
          <w:rFonts w:hint="eastAsia" w:ascii="宋体" w:hAnsi="宋体"/>
          <w:szCs w:val="21"/>
        </w:rPr>
        <w:t>编制本区环境保护规划、计划、负责环境保护责任目标管理工作。</w:t>
      </w:r>
    </w:p>
    <w:p>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szCs w:val="21"/>
        </w:rPr>
      </w:pPr>
      <w:r>
        <w:rPr>
          <w:rFonts w:hint="eastAsia" w:ascii="宋体" w:hAnsi="宋体"/>
          <w:szCs w:val="21"/>
        </w:rPr>
        <w:t>负责区属以下企业的污染防治工作；负责区属以下企业污染源治理立项、审查和日常监督管理、验收。组织实施市局下达的烟尘控制区和噪声达标区建设；完成市局下达的工业污染物排放申报登记工作。</w:t>
      </w:r>
    </w:p>
    <w:p>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szCs w:val="21"/>
        </w:rPr>
      </w:pPr>
      <w:r>
        <w:rPr>
          <w:rFonts w:hint="eastAsia" w:ascii="宋体" w:hAnsi="宋体"/>
          <w:szCs w:val="21"/>
        </w:rPr>
        <w:t>负责本区内建设项目审批管理工作。负责本区内投资在300万元以下建设项目的审批和验收并协助市局做好其它建设项目的管理工作。</w:t>
      </w:r>
    </w:p>
    <w:p>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szCs w:val="21"/>
        </w:rPr>
      </w:pPr>
      <w:r>
        <w:rPr>
          <w:rFonts w:hint="eastAsia" w:ascii="宋体" w:hAnsi="宋体"/>
          <w:szCs w:val="21"/>
        </w:rPr>
        <w:t>负责本区内的自然生态保护工作。</w:t>
      </w:r>
    </w:p>
    <w:p>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szCs w:val="21"/>
        </w:rPr>
      </w:pPr>
      <w:r>
        <w:rPr>
          <w:rFonts w:hint="eastAsia" w:ascii="宋体" w:hAnsi="宋体"/>
          <w:szCs w:val="21"/>
        </w:rPr>
        <w:t>负责本区内区属以下单位的排污收费和受市局委托负责区属以上单位的排污费代收工作；负责权限内的环境监理工作。</w:t>
      </w:r>
    </w:p>
    <w:p>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szCs w:val="21"/>
        </w:rPr>
      </w:pPr>
      <w:r>
        <w:rPr>
          <w:rFonts w:hint="eastAsia" w:ascii="宋体" w:hAnsi="宋体"/>
          <w:szCs w:val="21"/>
        </w:rPr>
        <w:t>负责本区内环境统计和环境信息工作；负责本区内来信来访、污染纠纷和污染事帮处理。负责本区内的环境监测和计量认证工作。</w:t>
      </w:r>
    </w:p>
    <w:p>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szCs w:val="21"/>
        </w:rPr>
      </w:pPr>
      <w:r>
        <w:rPr>
          <w:rFonts w:hint="eastAsia" w:ascii="宋体" w:hAnsi="宋体"/>
          <w:szCs w:val="21"/>
        </w:rPr>
        <w:t>负责本区内的环境宣传教育工作；负责培训本区内企、事业单位专兼职环境保护工作人员。</w:t>
      </w:r>
    </w:p>
    <w:p>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szCs w:val="21"/>
        </w:rPr>
      </w:pPr>
      <w:r>
        <w:rPr>
          <w:rFonts w:hint="eastAsia" w:ascii="宋体" w:hAnsi="宋体"/>
          <w:szCs w:val="21"/>
        </w:rPr>
        <w:t>承办市局和所在区政府交办的其它工作任务。</w:t>
      </w:r>
    </w:p>
    <w:p>
      <w:pPr>
        <w:spacing w:line="360" w:lineRule="auto"/>
        <w:ind w:firstLine="420" w:firstLineChars="200"/>
        <w:rPr>
          <w:szCs w:val="21"/>
        </w:rPr>
      </w:pP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1、严格建设项目环境把关，从源头上控制新污染源的产生。对重大环境敏感项目执行环境影响评价和“三同时”制度情况开展专项执法检查。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2、继续强化建设项目环境管理各部门联合把关制度，严格建设项目环境影响评价审批，从源头控制新污染源的产生。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3、对重大环境敏感项目执行环境影响评价和“三同时”制度情况开展专项执法检查。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4、全面贯彻落实《排污费征收使用管理条例》以收费促管理和治理。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5、解决重点行业的违法排污问题。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6、持续开展以化工、冶炼等高危行业为重点的环境安全大检查工作。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7、开展各类污染源的全面排查工作，重点排查饮用水源地和人口密集的石油化工企业隐患，努力消除环境隐患。</w:t>
      </w:r>
    </w:p>
    <w:p>
      <w:pPr>
        <w:spacing w:line="360" w:lineRule="auto"/>
        <w:ind w:firstLine="420" w:firstLineChars="200"/>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9"/>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626014唐山市环境保护局古冶区分局</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138.81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138.81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138.81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138.81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138.81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120.49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18.32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73"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626014唐山市环境保护局古冶区分局</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一、工资福利支出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120.49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120.49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41.45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41.45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38.54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38.54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37.57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37.57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工作津贴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生活补贴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22.54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4）上述项目之外的津贴补贴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通讯费补贴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女职工卫生费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3.45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37.05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37.05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16.49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16.49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3）基本医疗保险费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13.75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13.75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4）事业单位失业保险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5）事业单位工伤保险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6）职工生育保险费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6、其他工资福利支出</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4）病假两个月以上期间的人员工资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5）教师超工作量津贴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6）各种加班工资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7）预留人员经费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二、对个人和家庭的补助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18.32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18.32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9.90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9.90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8.32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8.32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74"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正常公用经费预算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626014唐山市环境保护局古冶区分局</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一、定额安排公用经费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7、公务交通补贴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二、按规定比例提取安排公用经费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三、非定额安排公用经费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75"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9"/>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626014唐山市环境保护局古冶区分局</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（一）因公出国境费用</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二、会议费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76"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9"/>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626014唐山市环境保护局古冶区分局</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参公单位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77"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9"/>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626014唐山市环境保护局古冶区分局</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参公单位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艘</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78"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唐山市环境保护局古冶区分局收支预算说明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3" w:name="_Toc476241475"/>
      <w:r>
        <w:t>九、唐山市古冶区环境监测站收支预算安排</w:t>
      </w:r>
      <w:bookmarkEnd w:id="23"/>
    </w:p>
    <w:p>
      <w:pPr>
        <w:jc w:val="center"/>
        <w:rPr>
          <w:rFonts w:ascii="宋体" w:hAnsi="宋体" w:eastAsia="宋体"/>
          <w:b/>
          <w:color w:val="000000"/>
          <w:sz w:val="44"/>
        </w:rPr>
      </w:pPr>
      <w:r>
        <w:rPr>
          <w:rFonts w:hint="eastAsia" w:ascii="宋体" w:hAnsi="宋体" w:eastAsia="宋体"/>
          <w:b/>
          <w:color w:val="000000"/>
          <w:sz w:val="44"/>
        </w:rPr>
        <w:t>唐山市古冶区环境监测站职责任务与目标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198"/>
        <w:rPr>
          <w:rFonts w:ascii="宋体" w:hAnsi="宋体"/>
        </w:rPr>
      </w:pPr>
      <w:r>
        <w:rPr>
          <w:rFonts w:hint="eastAsia" w:ascii="宋体" w:hAnsi="宋体"/>
        </w:rPr>
        <w:t>贯彻执行国家和省、市关于环境保护的方针政策、法律、法规和规章。</w:t>
      </w:r>
    </w:p>
    <w:p>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198"/>
        <w:rPr>
          <w:rFonts w:ascii="宋体" w:hAnsi="宋体"/>
        </w:rPr>
      </w:pPr>
      <w:r>
        <w:rPr>
          <w:rFonts w:hint="eastAsia" w:ascii="宋体" w:hAnsi="宋体"/>
        </w:rPr>
        <w:t>编制本区环境保护规划、计划、负责环境保护责任目标管理工作。</w:t>
      </w:r>
    </w:p>
    <w:p>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198"/>
        <w:rPr>
          <w:rFonts w:ascii="宋体" w:hAnsi="宋体"/>
        </w:rPr>
      </w:pPr>
      <w:r>
        <w:rPr>
          <w:rFonts w:hint="eastAsia" w:ascii="宋体" w:hAnsi="宋体"/>
        </w:rPr>
        <w:t>负责区属以下企业的污染防治工作；负责区属以下企业污染源治理立项、审查和日常监督管理、验收。组织实施市局下达的烟尘控制区和噪声达标区建设；完成市局下达的工业污染物排放申报登记工作。</w:t>
      </w:r>
    </w:p>
    <w:p>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198"/>
        <w:rPr>
          <w:rFonts w:ascii="宋体" w:hAnsi="宋体"/>
        </w:rPr>
      </w:pPr>
      <w:r>
        <w:rPr>
          <w:rFonts w:hint="eastAsia" w:ascii="宋体" w:hAnsi="宋体"/>
        </w:rPr>
        <w:t>负责本区内建设项目审批管理工作。负责本区内投资在300万元以下建设项目的审批和验收并协助市局做好其它建设项目的管理工作。</w:t>
      </w:r>
    </w:p>
    <w:p>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198"/>
        <w:rPr>
          <w:rFonts w:ascii="宋体" w:hAnsi="宋体"/>
        </w:rPr>
      </w:pPr>
      <w:r>
        <w:rPr>
          <w:rFonts w:hint="eastAsia" w:ascii="宋体" w:hAnsi="宋体"/>
        </w:rPr>
        <w:t>负责本区内的自然生态保护工作。</w:t>
      </w:r>
    </w:p>
    <w:p>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198"/>
        <w:rPr>
          <w:rFonts w:ascii="宋体" w:hAnsi="宋体"/>
        </w:rPr>
      </w:pPr>
      <w:r>
        <w:rPr>
          <w:rFonts w:hint="eastAsia" w:ascii="宋体" w:hAnsi="宋体"/>
        </w:rPr>
        <w:t>负责本区内区属以下单位的排污收费和受市局委托负责区属以上单位的排污费代收工作；负责权限内的环境监理工作。</w:t>
      </w:r>
    </w:p>
    <w:p>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198"/>
        <w:rPr>
          <w:rFonts w:ascii="宋体" w:hAnsi="宋体"/>
        </w:rPr>
      </w:pPr>
      <w:r>
        <w:rPr>
          <w:rFonts w:hint="eastAsia" w:ascii="宋体" w:hAnsi="宋体"/>
        </w:rPr>
        <w:t>负责本区内环境统计和环境信息工作；负责本区内来信来访、污染纠纷和污染事帮处理。负责本区内的环境监测和计量认证工作。</w:t>
      </w:r>
    </w:p>
    <w:p>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198"/>
        <w:rPr>
          <w:rFonts w:ascii="宋体" w:hAnsi="宋体"/>
        </w:rPr>
      </w:pPr>
      <w:r>
        <w:rPr>
          <w:rFonts w:hint="eastAsia" w:ascii="宋体" w:hAnsi="宋体"/>
        </w:rPr>
        <w:t>负责本区内的环境宣传教育工作；负责培训本区内企、事业单位专兼职环境保护工作人员。</w:t>
      </w:r>
    </w:p>
    <w:p>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198"/>
        <w:rPr>
          <w:rFonts w:ascii="宋体" w:hAnsi="宋体"/>
        </w:rPr>
      </w:pPr>
      <w:r>
        <w:rPr>
          <w:rFonts w:hint="eastAsia" w:ascii="宋体" w:hAnsi="宋体"/>
        </w:rPr>
        <w:t>承办市局和所在区政府交办的其它工作任务。</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00"/>
        <w:rPr>
          <w:rFonts w:ascii="宋体" w:hAnsi="宋体"/>
        </w:rPr>
      </w:pPr>
      <w:r>
        <w:rPr>
          <w:rFonts w:ascii="宋体" w:hAnsi="宋体"/>
        </w:rPr>
        <w:t>1、城乡环境质量进一步改善，城市环境质量二级以上天数达到120天。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00"/>
        <w:rPr>
          <w:rFonts w:ascii="宋体" w:hAnsi="宋体"/>
        </w:rPr>
      </w:pPr>
      <w:r>
        <w:rPr>
          <w:rFonts w:ascii="宋体" w:hAnsi="宋体"/>
        </w:rPr>
        <w:t>2、城市交通噪声达到70分贝以下，城市区域环境噪声低于70分贝。</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00"/>
        <w:rPr>
          <w:rFonts w:ascii="宋体" w:hAnsi="宋体"/>
        </w:rPr>
      </w:pPr>
      <w:r>
        <w:rPr>
          <w:rFonts w:ascii="宋体" w:hAnsi="宋体"/>
        </w:rPr>
        <w:t>3、加大建设项目后期管理力度，强化竣工项目“三同时”环保验收。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00"/>
        <w:rPr>
          <w:rFonts w:ascii="宋体" w:hAnsi="宋体"/>
        </w:rPr>
      </w:pPr>
      <w:r>
        <w:rPr>
          <w:rFonts w:ascii="宋体" w:hAnsi="宋体"/>
        </w:rPr>
        <w:t>4、加大环境宣传力度，普及环境科学和环保法律知识。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00"/>
        <w:rPr>
          <w:rFonts w:ascii="宋体" w:hAnsi="宋体"/>
        </w:rPr>
      </w:pPr>
      <w:r>
        <w:rPr>
          <w:rFonts w:ascii="宋体" w:hAnsi="宋体"/>
        </w:rPr>
        <w:t>5、落实《行政许可法》，强化服务意识，提高行政审批效率。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00"/>
        <w:rPr>
          <w:rFonts w:ascii="宋体" w:hAnsi="宋体"/>
        </w:rPr>
      </w:pPr>
      <w:r>
        <w:rPr>
          <w:rFonts w:ascii="宋体" w:hAnsi="宋体"/>
        </w:rPr>
        <w:t>6、加强排污许可证的管理工作。严格排污许可证的审批和发放工作。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00"/>
        <w:rPr>
          <w:rFonts w:ascii="宋体" w:hAnsi="宋体"/>
        </w:rPr>
      </w:pPr>
      <w:r>
        <w:rPr>
          <w:rFonts w:ascii="宋体" w:hAnsi="宋体"/>
        </w:rPr>
        <w:t>7、继续开展整治违法排污修企业保障群众健康环保专项行动。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00"/>
        <w:rPr>
          <w:rFonts w:ascii="宋体" w:hAnsi="宋体"/>
        </w:rPr>
      </w:pPr>
      <w:r>
        <w:rPr>
          <w:rFonts w:ascii="宋体" w:hAnsi="宋体"/>
        </w:rPr>
        <w:t xml:space="preserve">8、推进秸秆焚烧和综合利用工作。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00"/>
        <w:rPr>
          <w:rFonts w:ascii="宋体" w:hAnsi="宋体"/>
        </w:rPr>
      </w:pPr>
      <w:r>
        <w:rPr>
          <w:rFonts w:ascii="宋体" w:hAnsi="宋体"/>
        </w:rPr>
        <w:t>9、继续节能减排工作。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sz w:val="32"/>
        </w:rPr>
      </w:pP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9"/>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626015唐山市古冶区环境监测站</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57.31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57.31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57.31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57.31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57.31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48.67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8.64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79"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626015唐山市古冶区环境监测站</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57.31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57.31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一、工资福利支出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48.67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48.67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17.13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17.13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2）（特殊）岗位津贴（补贴）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16.06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16.06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3）基本医疗保险费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4）事业单位失业保险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5）事业单位工伤保险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6）职工生育保险费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5、绩效工资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15.11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15.11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6、其他工资福利支出</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4）病假两个月以上期间的人员工资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5）教师超工作量津贴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6）各种加班工资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7）预留人员经费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二、对个人和家庭的补助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8.64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8.64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80"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正常公用经费预算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626015唐山市古冶区环境监测站</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二、按规定比例提取安排公用经费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三、非定额安排公用经费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81"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9"/>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626015唐山市古冶区环境监测站</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（一）因公出国境费用</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二、会议费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82"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9"/>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626015唐山市古冶区环境监测站</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83"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9"/>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626015唐山市古冶区环境监测站</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艘</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84"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唐山市古冶区环境监测站收支预算说明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4" w:name="_Toc476241476"/>
      <w:r>
        <w:t>一十、唐山市环境保护局开平区分局收支预算安排</w:t>
      </w:r>
      <w:bookmarkEnd w:id="24"/>
    </w:p>
    <w:p>
      <w:pPr>
        <w:jc w:val="center"/>
        <w:rPr>
          <w:rFonts w:ascii="宋体" w:hAnsi="宋体" w:eastAsia="宋体"/>
          <w:b/>
          <w:color w:val="000000"/>
          <w:sz w:val="44"/>
        </w:rPr>
      </w:pPr>
      <w:r>
        <w:rPr>
          <w:rFonts w:hint="eastAsia" w:ascii="宋体" w:hAnsi="宋体" w:eastAsia="宋体"/>
          <w:b/>
          <w:color w:val="000000"/>
          <w:sz w:val="44"/>
        </w:rPr>
        <w:t>唐山市环境保护局开平区分局职责任务与目标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rFonts w:ascii="宋体" w:hAnsi="宋体" w:eastAsia="宋体"/>
        </w:rPr>
      </w:pPr>
      <w:r>
        <w:rPr>
          <w:rFonts w:ascii="宋体" w:hAnsi="宋体" w:eastAsia="宋体"/>
        </w:rPr>
        <w:t xml:space="preserve"> 1、贯彻执行国家和省、市关于环境保护的方针政策、法律、法规和规章。</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525"/>
        <w:rPr>
          <w:rFonts w:ascii="宋体" w:hAnsi="宋体" w:eastAsia="宋体"/>
        </w:rPr>
      </w:pPr>
      <w:r>
        <w:rPr>
          <w:rFonts w:ascii="宋体" w:hAnsi="宋体" w:eastAsia="宋体"/>
        </w:rPr>
        <w:t>2、编制本区环境保护规划、计划，负责环境保护责任目标管理工作。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rFonts w:ascii="宋体" w:hAnsi="宋体" w:eastAsia="宋体"/>
        </w:rPr>
      </w:pPr>
      <w:r>
        <w:rPr>
          <w:rFonts w:ascii="宋体" w:hAnsi="宋体" w:eastAsia="宋体"/>
        </w:rPr>
        <w:t xml:space="preserve"> 3、负责区属以下企业的污染防治工作；参与区属企业的污染源治理立项、预审查和日常监督管理、验收。完成市局下达的工业污染物排放申报登记工作。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rFonts w:ascii="宋体" w:hAnsi="宋体" w:eastAsia="宋体"/>
        </w:rPr>
      </w:pPr>
      <w:r>
        <w:rPr>
          <w:rFonts w:ascii="宋体" w:hAnsi="宋体" w:eastAsia="宋体"/>
        </w:rPr>
        <w:t xml:space="preserve"> 4、负责本区内投资在300万元以下建设项目的审批和验收工作，并协助市环保局做好其它建设项目的管理工作。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525"/>
        <w:rPr>
          <w:rFonts w:ascii="宋体" w:hAnsi="宋体" w:eastAsia="宋体"/>
        </w:rPr>
      </w:pPr>
      <w:r>
        <w:rPr>
          <w:rFonts w:ascii="宋体" w:hAnsi="宋体" w:eastAsia="宋体"/>
        </w:rPr>
        <w:t>5、负责本区内的自然保护工作。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rFonts w:ascii="宋体" w:hAnsi="宋体" w:eastAsia="宋体"/>
        </w:rPr>
      </w:pPr>
      <w:r>
        <w:rPr>
          <w:rFonts w:ascii="宋体" w:hAnsi="宋体" w:eastAsia="宋体"/>
        </w:rPr>
        <w:t xml:space="preserve"> 6、负责本区内属以下单位的排污收费和区属以上单位的代收工作。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rFonts w:ascii="宋体" w:hAnsi="宋体" w:eastAsia="宋体"/>
        </w:rPr>
      </w:pPr>
      <w:r>
        <w:rPr>
          <w:rFonts w:ascii="宋体" w:hAnsi="宋体" w:eastAsia="宋体"/>
        </w:rPr>
        <w:t xml:space="preserve"> 7、负责本区内环境统计、环境信息、来信来访、污染纠纷和污染事故的处理工作。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525"/>
        <w:rPr>
          <w:rFonts w:ascii="宋体" w:hAnsi="宋体" w:eastAsia="宋体"/>
        </w:rPr>
      </w:pPr>
      <w:r>
        <w:rPr>
          <w:rFonts w:ascii="宋体" w:hAnsi="宋体" w:eastAsia="宋体"/>
        </w:rPr>
        <w:t xml:space="preserve">8、负责本区内环境宣传教育工作；负责培训本区企、事业单位专兼职环境保护工作人员。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rFonts w:ascii="宋体" w:hAnsi="宋体" w:eastAsia="宋体"/>
        </w:rPr>
      </w:pPr>
      <w:r>
        <w:rPr>
          <w:rFonts w:ascii="宋体" w:hAnsi="宋体" w:eastAsia="宋体"/>
        </w:rPr>
        <w:t xml:space="preserve"> 9、承办市环保局和本区政府交办的其它事项。</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rFonts w:ascii="宋体" w:hAnsi="宋体" w:eastAsia="宋体"/>
          <w:szCs w:val="21"/>
        </w:rPr>
      </w:pPr>
      <w:r>
        <w:rPr>
          <w:rFonts w:ascii="宋体" w:hAnsi="宋体" w:eastAsia="宋体"/>
          <w:szCs w:val="21"/>
        </w:rPr>
        <w:t xml:space="preserve"> 1、深化污染源治理力度，继续加强钢铁、水泥等大型企业的治理力度和监督管理，确保其稳定达标。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525"/>
        <w:rPr>
          <w:rFonts w:ascii="宋体" w:hAnsi="宋体" w:eastAsia="宋体"/>
          <w:szCs w:val="21"/>
        </w:rPr>
      </w:pPr>
      <w:r>
        <w:rPr>
          <w:rFonts w:ascii="宋体" w:hAnsi="宋体" w:eastAsia="宋体"/>
          <w:szCs w:val="21"/>
        </w:rPr>
        <w:t>2、进一步推行清洁生产，严把新建项目审批关，对违规建设项目，依法进行查处。</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525"/>
        <w:rPr>
          <w:rFonts w:ascii="宋体" w:hAnsi="宋体" w:eastAsia="宋体"/>
          <w:sz w:val="21"/>
          <w:szCs w:val="21"/>
          <w:lang w:eastAsia="zh-CN"/>
        </w:rPr>
      </w:pPr>
      <w:r>
        <w:rPr>
          <w:rFonts w:ascii="宋体" w:hAnsi="宋体" w:eastAsia="宋体"/>
          <w:sz w:val="21"/>
          <w:szCs w:val="21"/>
          <w:lang w:eastAsia="zh-CN"/>
        </w:rPr>
        <w:t>3、进一步搞好环境信访和提案、建议承办工作，发挥群众监督作用，切实为群众排忧解难。</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525"/>
        <w:rPr>
          <w:rFonts w:ascii="宋体" w:hAnsi="宋体" w:eastAsia="宋体"/>
          <w:sz w:val="21"/>
          <w:szCs w:val="21"/>
          <w:lang w:eastAsia="zh-CN"/>
        </w:rPr>
      </w:pPr>
      <w:r>
        <w:rPr>
          <w:rFonts w:ascii="宋体" w:hAnsi="宋体" w:eastAsia="宋体"/>
          <w:sz w:val="21"/>
          <w:szCs w:val="21"/>
          <w:lang w:eastAsia="zh-CN"/>
        </w:rPr>
        <w:t>4、与相关部门配合，加强现场执法力度，形成多方位的综合执法体系。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525"/>
        <w:rPr>
          <w:rFonts w:ascii="宋体" w:hAnsi="宋体" w:eastAsia="宋体"/>
          <w:szCs w:val="21"/>
        </w:rPr>
      </w:pPr>
      <w:r>
        <w:rPr>
          <w:rFonts w:ascii="宋体" w:hAnsi="宋体" w:eastAsia="宋体"/>
          <w:szCs w:val="21"/>
        </w:rPr>
        <w:t>5、继续深入开展“改善环境质量、保障群众健康”的专项行动。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525"/>
        <w:rPr>
          <w:rFonts w:ascii="宋体" w:hAnsi="宋体" w:eastAsia="宋体"/>
          <w:szCs w:val="21"/>
        </w:rPr>
      </w:pPr>
      <w:r>
        <w:rPr>
          <w:rFonts w:ascii="宋体" w:hAnsi="宋体" w:eastAsia="宋体"/>
          <w:szCs w:val="21"/>
        </w:rPr>
        <w:t>6、深入开展行风建设和机关效能建设，进一步落实党风廉政建设责任制和社会公开承诺制，努力提高全体职工的思想道德素质、依法行政水平和办事效率。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rFonts w:ascii="宋体" w:hAnsi="宋体" w:eastAsia="宋体"/>
          <w:szCs w:val="21"/>
        </w:rPr>
      </w:pPr>
      <w:r>
        <w:rPr>
          <w:rFonts w:ascii="宋体" w:hAnsi="宋体" w:eastAsia="宋体"/>
          <w:szCs w:val="21"/>
        </w:rPr>
        <w:t>以经济建设为中心,抓好节能减排工作，实施污染物总量控制和总量收费,严格落实环保法律法规,把好第一审批关,重点抓好钢轧企业、陶瓷行业的污染治理,加强环境宣传和精神文明建设。</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9"/>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626016唐山市环境保护局开平区分局</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192.35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192.35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192.35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192.35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192.35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166.79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25.56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85"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626016唐山市环境保护局开平区分局</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192.35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192.35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一、工资福利支出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166.79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166.79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55.76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55.76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55.07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55.07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53.76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53.76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工作津贴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21.50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21.50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生活补贴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32.26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32.26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增发津补贴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2）（特殊）岗位津贴（补贴）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3）规范津补贴后仍继续保留的补贴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回族补贴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职工劳模荣誉津贴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4）上述项目之外的津贴补贴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通讯费补贴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女职工卫生费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51.31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51.31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22.83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22.83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9.13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9.13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3）基本医疗保险费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4）事业单位失业保险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5）事业单位工伤保险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6）职工生育保险费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6、其他工资福利支出</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1）人事代理人员工资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2）劳务派遣人员工资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3）其他编外人员工资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4）病假两个月以上期间的人员工资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5）教师超工作量津贴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6）各种加班工资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7）预留人员经费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二、对个人和家庭的补助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25.56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25.56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13.70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13.70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11.64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11.64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9.13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9.13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86"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正常公用经费预算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626016唐山市环境保护局开平区分局</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一、定额安排公用经费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7、公务交通补贴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8、其他商品和服务支出</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二、按规定比例提取安排公用经费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三、非定额安排公用经费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87"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9"/>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626016唐山市环境保护局开平区分局</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（一）因公出国境费用</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二、会议费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88"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9"/>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626016唐山市环境保护局开平区分局</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参公单位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89"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9"/>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626016唐山市环境保护局开平区分局</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参公单位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艘</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90"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唐山市环境保护局开平区分局收支预算说明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5" w:name="_Toc476241477"/>
      <w:r>
        <w:t>一十一、唐山市环境保护局丰润分局收支预算安排</w:t>
      </w:r>
      <w:bookmarkEnd w:id="25"/>
    </w:p>
    <w:p>
      <w:pPr>
        <w:jc w:val="center"/>
        <w:rPr>
          <w:rFonts w:ascii="宋体" w:hAnsi="宋体" w:eastAsia="宋体"/>
          <w:b/>
          <w:color w:val="000000"/>
          <w:sz w:val="44"/>
        </w:rPr>
      </w:pPr>
      <w:r>
        <w:rPr>
          <w:rFonts w:hint="eastAsia" w:ascii="宋体" w:hAnsi="宋体" w:eastAsia="宋体"/>
          <w:b/>
          <w:color w:val="000000"/>
          <w:sz w:val="44"/>
        </w:rPr>
        <w:t>唐山市环境保护局丰润分局职责任务与目标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rFonts w:ascii="宋体" w:hAnsi="宋体"/>
        </w:rPr>
      </w:pPr>
      <w:r>
        <w:rPr>
          <w:rFonts w:ascii="宋体" w:hAnsi="宋体"/>
        </w:rPr>
        <w:t>1、贯彻执行国家和省、市关于环境保护的方针政策、法律法规。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rFonts w:ascii="宋体" w:hAnsi="宋体"/>
        </w:rPr>
      </w:pPr>
      <w:r>
        <w:rPr>
          <w:rFonts w:ascii="宋体" w:hAnsi="宋体"/>
        </w:rPr>
        <w:t>2、编制本区环境保护规划、计划、负责环境保护责任目标管理工作。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rFonts w:ascii="宋体" w:hAnsi="宋体"/>
        </w:rPr>
      </w:pPr>
      <w:r>
        <w:rPr>
          <w:rFonts w:ascii="宋体" w:hAnsi="宋体"/>
        </w:rPr>
        <w:t>3、负责区属以下企业的污染防治、污染源治理立项、审查和日常监督管理、验收；组织实施市局下达的烟尘控制区和噪声达标区建设以及工业污染物排放申报登记工作。</w:t>
      </w:r>
    </w:p>
    <w:p>
      <w:pPr>
        <w:tabs>
          <w:tab w:val="left" w:pos="1415"/>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60" w:lineRule="auto"/>
        <w:ind w:left="420" w:leftChars="200" w:firstLine="420"/>
        <w:rPr>
          <w:rFonts w:ascii="宋体" w:hAnsi="宋体"/>
        </w:rPr>
      </w:pPr>
      <w:r>
        <w:rPr>
          <w:rFonts w:ascii="宋体" w:hAnsi="宋体"/>
        </w:rPr>
        <w:t>4、负责区内的自然生态保护工作。</w:t>
      </w:r>
    </w:p>
    <w:p>
      <w:pPr>
        <w:tabs>
          <w:tab w:val="left" w:pos="1415"/>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60" w:lineRule="auto"/>
        <w:ind w:left="420" w:leftChars="200" w:firstLine="420"/>
        <w:rPr>
          <w:rFonts w:ascii="宋体" w:hAnsi="宋体"/>
        </w:rPr>
      </w:pPr>
      <w:r>
        <w:rPr>
          <w:rFonts w:ascii="宋体" w:hAnsi="宋体"/>
        </w:rPr>
        <w:t>5、负责区内的环境宣传教育、企事业单位专兼职环境保护人员培训。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rFonts w:ascii="宋体" w:hAnsi="宋体"/>
        </w:rPr>
      </w:pPr>
      <w:r>
        <w:rPr>
          <w:rFonts w:ascii="宋体" w:hAnsi="宋体"/>
        </w:rPr>
        <w:t>6、负责区属以下单位的排污收费和受市局委托负责区属以下单位的排污费代收工作；负责权限内的环境监理工作。</w:t>
      </w:r>
    </w:p>
    <w:p>
      <w:pPr>
        <w:tabs>
          <w:tab w:val="left" w:pos="1415"/>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60" w:lineRule="auto"/>
        <w:ind w:left="420" w:leftChars="200" w:firstLine="420"/>
        <w:rPr>
          <w:rFonts w:ascii="宋体" w:hAnsi="宋体"/>
        </w:rPr>
      </w:pPr>
      <w:r>
        <w:rPr>
          <w:rFonts w:ascii="宋体" w:hAnsi="宋体"/>
        </w:rPr>
        <w:t>7、负责区内环境统计和信息、来信来访、污染纠纷、污染事故处理、环境监测和计量认证工作。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rFonts w:ascii="宋体" w:hAnsi="宋体"/>
        </w:rPr>
      </w:pPr>
      <w:r>
        <w:rPr>
          <w:rFonts w:ascii="宋体" w:hAnsi="宋体"/>
        </w:rPr>
        <w:t>8、负责区内投资在300万元以下建设项目的审批和验收，并协助市局做好其它建设项目的管理工作。</w:t>
      </w:r>
    </w:p>
    <w:p>
      <w:pPr>
        <w:tabs>
          <w:tab w:val="left" w:pos="1415"/>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60" w:lineRule="auto"/>
        <w:ind w:left="420" w:leftChars="200" w:firstLine="210"/>
        <w:rPr>
          <w:rFonts w:ascii="宋体" w:hAnsi="宋体"/>
        </w:rPr>
      </w:pPr>
      <w:r>
        <w:rPr>
          <w:rFonts w:ascii="宋体" w:hAnsi="宋体"/>
        </w:rPr>
        <w:t xml:space="preserve">  9、承办市局和所在区政府交办的有关工作。</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1、推进污染物总量减排，确保减排目标顺利完成。</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2、推进重点领域的安全风险监管，确保全区环境安全。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（1）严格落实危险废物、危险化学品管理的各项法律法规。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（2）加强核与辐射的污染与防治。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3、加大执法力度，严肃查处违法违规行为，全面落实辐射事故应急响应和报告制度。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4、推进钢铁、水泥企业达标及示范工程建设，确保达标建设再上台阶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5、推进建设项目监管，确保全面落实“三同时”。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6、</w:t>
      </w:r>
      <w:r>
        <w:rPr>
          <w:rFonts w:hint="eastAsia" w:ascii="宋体" w:hAnsi="宋体" w:eastAsia="宋体"/>
        </w:rPr>
        <w:t>建立完善我局网格化环境监管体系</w:t>
      </w:r>
      <w:r>
        <w:rPr>
          <w:rFonts w:ascii="宋体" w:hAnsi="宋体" w:eastAsia="宋体"/>
        </w:rPr>
        <w:t>，确保环境监察水平显著提高。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7、推进清洁生产审核，确保企业整体环境水平的提升。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8、推进生态保护和农村环境综合治理，确保农村环境优美发展。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9、推行信访首办责任机制，确保敏感问题及时妥善处理。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10、推进环境质量实时监测，确保监测保障水平。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11、推进环境宣传与绿色创建，确保全员参与环境监督。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hint="eastAsia" w:ascii="宋体" w:hAnsi="宋体" w:eastAsia="宋体"/>
        </w:rPr>
        <w:t>12、推进大气污染防治，不断改善空气质量。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eastAsia="宋体"/>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9"/>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626018唐山市环境保护局丰润分局</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598.8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598.8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598.8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598.8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598.8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517.66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81.14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91"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626018唐山市环境保护局丰润分局</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598.80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598.80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一、工资福利支出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517.66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517.66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169.70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169.70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170.17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170.17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165.97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165.97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工作津贴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66.65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66.65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生活补贴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99.32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99.32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增发津补贴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2）（特殊）岗位津贴（补贴）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3）规范津补贴后仍继续保留的补贴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回族补贴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职工劳模荣誉津贴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4）上述项目之外的津贴补贴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4.20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通讯费补贴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女职工卫生费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14.14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14.14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163.65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163.65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69.96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69.96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27.98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27.98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3）基本医疗保险费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64.84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64.84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4）事业单位失业保险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5）事业单位工伤保险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6）职工生育保险费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6、其他工资福利支出</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1）人事代理人员工资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2）劳务派遣人员工资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3）其他编外人员工资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4）病假两个月以上期间的人员工资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5）教师超工作量津贴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6）各种加班工资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7）预留人员经费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二、对个人和家庭的补助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81.14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81.14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41.98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41.98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37.62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37.62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27.97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27.97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92"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正常公用经费预算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626018唐山市环境保护局丰润分局</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一、定额安排公用经费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7、公务交通补贴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8、其他商品和服务支出</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二、按规定比例提取安排公用经费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三、非定额安排公用经费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93"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9"/>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626018唐山市环境保护局丰润分局</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（一）因公出国境费用</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二、会议费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94"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9"/>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626018唐山市环境保护局丰润分局</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参公单位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95"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9"/>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626018唐山市环境保护局丰润分局</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参公单位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艘</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96"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唐山市环境保护局丰润分局收支预算说明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6" w:name="_Toc476241478"/>
      <w:r>
        <w:t>一十二、唐山市环境保护局丰润分局环境监测站收支预算安排</w:t>
      </w:r>
      <w:bookmarkEnd w:id="26"/>
    </w:p>
    <w:p>
      <w:pPr>
        <w:jc w:val="center"/>
        <w:rPr>
          <w:rFonts w:ascii="宋体" w:hAnsi="宋体" w:eastAsia="宋体"/>
          <w:b/>
          <w:color w:val="000000"/>
          <w:sz w:val="44"/>
        </w:rPr>
      </w:pPr>
      <w:r>
        <w:rPr>
          <w:rFonts w:hint="eastAsia" w:ascii="宋体" w:hAnsi="宋体" w:eastAsia="宋体"/>
          <w:b/>
          <w:color w:val="000000"/>
          <w:sz w:val="44"/>
        </w:rPr>
        <w:t>唐山市环境保护局丰润分局环境监测站职责任务与目标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rFonts w:ascii="宋体" w:hAnsi="宋体"/>
        </w:rPr>
      </w:pPr>
      <w:r>
        <w:rPr>
          <w:rFonts w:ascii="宋体" w:hAnsi="宋体"/>
        </w:rPr>
        <w:t>1、贯彻执行国家和省、市关于环境保护的方针政策、法律法规。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rFonts w:ascii="宋体" w:hAnsi="宋体"/>
        </w:rPr>
      </w:pPr>
      <w:r>
        <w:rPr>
          <w:rFonts w:ascii="宋体" w:hAnsi="宋体"/>
        </w:rPr>
        <w:t>2、编制本区环境保护规划、计划、负责环境保护责任目标管理工作。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rFonts w:ascii="宋体" w:hAnsi="宋体"/>
        </w:rPr>
      </w:pPr>
      <w:r>
        <w:rPr>
          <w:rFonts w:ascii="宋体" w:hAnsi="宋体"/>
        </w:rPr>
        <w:t>3、负责区属以下企业的污染防治、污染源治理立项、审查和日常监督管理、验收；组织实施市局下达的烟尘控制区和噪声达标区建设以及工业污染物排放申报登记工作。</w:t>
      </w:r>
    </w:p>
    <w:p>
      <w:pPr>
        <w:tabs>
          <w:tab w:val="left" w:pos="1415"/>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60" w:lineRule="auto"/>
        <w:ind w:left="420" w:leftChars="200" w:firstLine="420"/>
        <w:rPr>
          <w:rFonts w:ascii="宋体" w:hAnsi="宋体"/>
        </w:rPr>
      </w:pPr>
      <w:r>
        <w:rPr>
          <w:rFonts w:ascii="宋体" w:hAnsi="宋体"/>
        </w:rPr>
        <w:t>4、负责区内的自然生态保护工作。</w:t>
      </w:r>
    </w:p>
    <w:p>
      <w:pPr>
        <w:tabs>
          <w:tab w:val="left" w:pos="1415"/>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60" w:lineRule="auto"/>
        <w:ind w:left="420" w:leftChars="200" w:firstLine="420"/>
        <w:rPr>
          <w:rFonts w:ascii="宋体" w:hAnsi="宋体"/>
        </w:rPr>
      </w:pPr>
      <w:r>
        <w:rPr>
          <w:rFonts w:ascii="宋体" w:hAnsi="宋体"/>
        </w:rPr>
        <w:t>5、负责区内的环境宣传教育、企事业单位专兼职环境保护人员培训。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rFonts w:ascii="宋体" w:hAnsi="宋体"/>
        </w:rPr>
      </w:pPr>
      <w:r>
        <w:rPr>
          <w:rFonts w:ascii="宋体" w:hAnsi="宋体"/>
        </w:rPr>
        <w:t>6、负责区属以下单位的排污收费和受市局委托负责区属以下单位的排污费代收工作；负责权限内的环境监理工作。</w:t>
      </w:r>
    </w:p>
    <w:p>
      <w:pPr>
        <w:tabs>
          <w:tab w:val="left" w:pos="1415"/>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60" w:lineRule="auto"/>
        <w:ind w:left="420" w:leftChars="200" w:firstLine="420"/>
        <w:rPr>
          <w:rFonts w:ascii="宋体" w:hAnsi="宋体"/>
        </w:rPr>
      </w:pPr>
      <w:r>
        <w:rPr>
          <w:rFonts w:ascii="宋体" w:hAnsi="宋体"/>
        </w:rPr>
        <w:t>7、负责区内环境统计和信息、来信来访、污染纠纷、污染事故处理、环境监测和计量认证工作。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rFonts w:ascii="宋体" w:hAnsi="宋体"/>
        </w:rPr>
      </w:pPr>
      <w:r>
        <w:rPr>
          <w:rFonts w:ascii="宋体" w:hAnsi="宋体"/>
        </w:rPr>
        <w:t>8、负责区内投资在300万元以下建设项目的审批和验收，并协助市局做好其它建设项目的管理工作。</w:t>
      </w:r>
    </w:p>
    <w:p>
      <w:pPr>
        <w:tabs>
          <w:tab w:val="left" w:pos="1415"/>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s>
        <w:spacing w:line="360" w:lineRule="auto"/>
        <w:ind w:left="420" w:leftChars="200" w:firstLine="210"/>
        <w:rPr>
          <w:rFonts w:ascii="宋体" w:hAnsi="宋体"/>
        </w:rPr>
      </w:pPr>
      <w:r>
        <w:rPr>
          <w:rFonts w:ascii="宋体" w:hAnsi="宋体"/>
        </w:rPr>
        <w:t xml:space="preserve">  9、承办市局和所在区政府交办的有关工作。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rPr>
          <w:rFonts w:ascii="宋体" w:hAnsi="宋体"/>
        </w:rPr>
      </w:pPr>
    </w:p>
    <w:p>
      <w:pPr>
        <w:spacing w:line="360" w:lineRule="auto"/>
        <w:ind w:left="420" w:leftChars="200"/>
      </w:pP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1、推进污染物总量减排，确保减排目标顺利完成。</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2、推进重点领域的安全风险监管，确保全区环境安全。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（1）严格落实危险废物、危险化学品管理的各项法律法规。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（2）加强核与辐射的污染与防治。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3、加大执法力度，严肃查处违法违规行为，全面落实辐射事故应急响应和报告制度。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4、推进钢铁、水泥企业达标及示范工程建设，确保达标建设再上台阶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5、推进建设项目监管，确保全面落实“三同时”。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6、</w:t>
      </w:r>
      <w:r>
        <w:rPr>
          <w:rFonts w:hint="eastAsia" w:ascii="宋体" w:hAnsi="宋体" w:eastAsia="宋体"/>
        </w:rPr>
        <w:t>建立完善我局网格化环境监管体系</w:t>
      </w:r>
      <w:r>
        <w:rPr>
          <w:rFonts w:ascii="宋体" w:hAnsi="宋体" w:eastAsia="宋体"/>
        </w:rPr>
        <w:t>，确保环境监察水平显著提高。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7、推进清洁生产审核，确保企业整体环境水平的提升。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8、推进生态保护和农村环境综合治理，确保农村环境优美发展。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9、推行信访首办责任机制，确保敏感问题及时妥善处理。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10、推进环境质量实时监测，确保监测保障水平。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11、推进环境宣传与绿色创建，确保全员参与环境监督。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hint="eastAsia" w:ascii="宋体" w:hAnsi="宋体" w:eastAsia="宋体"/>
        </w:rPr>
        <w:t>12、推进大气污染防治，不断改善空气质量。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eastAsia="宋体"/>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9"/>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626019唐山市环境保护局丰润分局环境监测站</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215.89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215.89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215.89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215.89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215.89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186.6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29.29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r>
              <w:rPr>
                <w:rFonts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97"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626019唐山市环境保护局丰润分局环境监测站</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215.89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215.89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一、工资福利支出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186.60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186.60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60.30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60.30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2）（特殊）岗位津贴（补贴）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3）规范津补贴后仍继续保留的补贴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职工劳模荣誉津贴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4）上述项目之外的津贴补贴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女职工卫生费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61.78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61.78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24.58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24.58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3）基本医疗保险费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25.44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25.44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4）事业单位失业保险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5）事业单位工伤保险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6）职工生育保险费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5、绩效工资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62.62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62.62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40.31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40.31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17.28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17.28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6、其他工资福利支出</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4）病假两个月以上期间的人员工资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5）教师超工作量津贴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6）各种加班工资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7）预留人员经费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二、对个人和家庭的补助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29.29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29.29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14.75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14.75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14.35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14.35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9.82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98"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正常公用经费预算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626019唐山市环境保护局丰润分局环境监测站</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二、按规定比例提取安排公用经费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三、非定额安排公用经费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99"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9"/>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626019唐山市环境保护局丰润分局环境监测站</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（一）因公出国境费用</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二、会议费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100"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9"/>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626019唐山市环境保护局丰润分局环境监测站</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101"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9"/>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626019唐山市环境保护局丰润分局环境监测站</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艘</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102"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唐山市环境保护局丰润分局环境监测站收支预算说明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220</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0F830"/>
    <w:multiLevelType w:val="singleLevel"/>
    <w:tmpl w:val="54A0F830"/>
    <w:lvl w:ilvl="0" w:tentative="0">
      <w:start w:val="1"/>
      <w:numFmt w:val="decimal"/>
      <w:suff w:val="nothing"/>
      <w:lvlText w:val="%1、"/>
      <w:lvlJc w:val="left"/>
    </w:lvl>
  </w:abstractNum>
  <w:abstractNum w:abstractNumId="1">
    <w:nsid w:val="57313A7C"/>
    <w:multiLevelType w:val="multilevel"/>
    <w:tmpl w:val="57313A7C"/>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B7F13B"/>
    <w:multiLevelType w:val="singleLevel"/>
    <w:tmpl w:val="58B7F13B"/>
    <w:lvl w:ilvl="0" w:tentative="0">
      <w:start w:val="1"/>
      <w:numFmt w:val="decimal"/>
      <w:suff w:val="nothing"/>
      <w:lvlText w:val="%1、"/>
      <w:lvlJc w:val="left"/>
    </w:lvl>
  </w:abstractNum>
  <w:abstractNum w:abstractNumId="3">
    <w:nsid w:val="58B7FE10"/>
    <w:multiLevelType w:val="singleLevel"/>
    <w:tmpl w:val="58B7FE10"/>
    <w:lvl w:ilvl="0" w:tentative="0">
      <w:start w:val="4"/>
      <w:numFmt w:val="chineseCounting"/>
      <w:suff w:val="nothing"/>
      <w:lvlText w:val="%1、"/>
      <w:lvlJc w:val="left"/>
    </w:lvl>
  </w:abstractNum>
  <w:abstractNum w:abstractNumId="4">
    <w:nsid w:val="58B7FFEC"/>
    <w:multiLevelType w:val="singleLevel"/>
    <w:tmpl w:val="58B7FFEC"/>
    <w:lvl w:ilvl="0" w:tentative="0">
      <w:start w:val="3"/>
      <w:numFmt w:val="chineseCounting"/>
      <w:suff w:val="nothing"/>
      <w:lvlText w:val="%1、"/>
      <w:lvlJc w:val="left"/>
    </w:lvl>
  </w:abstractNum>
  <w:abstractNum w:abstractNumId="5">
    <w:nsid w:val="60903006"/>
    <w:multiLevelType w:val="multilevel"/>
    <w:tmpl w:val="60903006"/>
    <w:lvl w:ilvl="0" w:tentative="0">
      <w:start w:val="4"/>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B6A"/>
    <w:rsid w:val="002970B3"/>
    <w:rsid w:val="006755BA"/>
    <w:rsid w:val="00DA4790"/>
    <w:rsid w:val="00F36977"/>
    <w:rsid w:val="00F95B6A"/>
    <w:rsid w:val="25EA135B"/>
    <w:rsid w:val="33E453CE"/>
    <w:rsid w:val="35B32951"/>
    <w:rsid w:val="37B4796D"/>
    <w:rsid w:val="39485768"/>
    <w:rsid w:val="473D4019"/>
    <w:rsid w:val="64522F3F"/>
    <w:rsid w:val="64734193"/>
    <w:rsid w:val="64EE2D4C"/>
    <w:rsid w:val="655B0291"/>
    <w:rsid w:val="6AF0336D"/>
    <w:rsid w:val="770D3CEE"/>
    <w:rsid w:val="773D2966"/>
    <w:rsid w:val="7AF90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toc 1"/>
    <w:basedOn w:val="1"/>
    <w:next w:val="1"/>
    <w:unhideWhenUsed/>
    <w:qFormat/>
    <w:uiPriority w:val="39"/>
  </w:style>
  <w:style w:type="paragraph" w:styleId="6">
    <w:name w:val="Title"/>
    <w:basedOn w:val="1"/>
    <w:next w:val="1"/>
    <w:link w:val="12"/>
    <w:qFormat/>
    <w:uiPriority w:val="10"/>
    <w:pPr>
      <w:spacing w:before="240" w:after="60"/>
      <w:jc w:val="center"/>
      <w:outlineLvl w:val="0"/>
    </w:pPr>
    <w:rPr>
      <w:rFonts w:ascii="Cambria" w:hAnsi="Cambria" w:eastAsia="宋体" w:cs="Times New Roman"/>
      <w:b/>
      <w:bCs/>
      <w:sz w:val="32"/>
      <w:szCs w:val="32"/>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标题 1 Char"/>
    <w:basedOn w:val="7"/>
    <w:link w:val="2"/>
    <w:uiPriority w:val="9"/>
    <w:rPr>
      <w:b/>
      <w:bCs/>
      <w:kern w:val="44"/>
      <w:sz w:val="44"/>
      <w:szCs w:val="44"/>
    </w:rPr>
  </w:style>
  <w:style w:type="character" w:customStyle="1" w:styleId="11">
    <w:name w:val="页眉 Char"/>
    <w:basedOn w:val="7"/>
    <w:link w:val="4"/>
    <w:uiPriority w:val="99"/>
    <w:rPr>
      <w:rFonts w:ascii="Calibri" w:hAnsi="Calibri" w:eastAsia="宋体" w:cs="Times New Roman"/>
      <w:sz w:val="18"/>
      <w:szCs w:val="18"/>
    </w:rPr>
  </w:style>
  <w:style w:type="character" w:customStyle="1" w:styleId="12">
    <w:name w:val="标题 Char"/>
    <w:basedOn w:val="7"/>
    <w:link w:val="6"/>
    <w:qFormat/>
    <w:uiPriority w:val="10"/>
    <w:rPr>
      <w:rFonts w:ascii="Cambria" w:hAnsi="Cambria" w:eastAsia="宋体" w:cs="Times New Roman"/>
      <w:b/>
      <w:bCs/>
      <w:sz w:val="32"/>
      <w:szCs w:val="32"/>
    </w:rPr>
  </w:style>
  <w:style w:type="paragraph" w:customStyle="1" w:styleId="13">
    <w:name w:val="列出段落1"/>
    <w:basedOn w:val="1"/>
    <w:qFormat/>
    <w:uiPriority w:val="34"/>
    <w:pPr>
      <w:ind w:firstLine="420" w:firstLineChars="200"/>
    </w:pPr>
    <w:rPr>
      <w:rFonts w:ascii="Calibri" w:hAnsi="Calibri" w:eastAsia="宋体" w:cs="Times New Roman"/>
    </w:rPr>
  </w:style>
  <w:style w:type="paragraph" w:customStyle="1" w:styleId="14">
    <w:name w:val="正文文本缩进1"/>
    <w:basedOn w:val="1"/>
    <w:uiPriority w:val="0"/>
    <w:pPr>
      <w:widowControl/>
      <w:spacing w:line="500" w:lineRule="exact"/>
      <w:ind w:firstLine="640"/>
    </w:pPr>
    <w:rPr>
      <w:rFonts w:ascii="Times New Roman" w:hAnsi="Times New Roman" w:eastAsia="Times New Roman" w:cs="Times New Roman"/>
      <w:kern w:val="0"/>
      <w:sz w:val="32"/>
      <w:szCs w:val="20"/>
      <w:lang w:eastAsia="en-US"/>
    </w:rPr>
  </w:style>
  <w:style w:type="character" w:customStyle="1" w:styleId="15">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header" Target="header93.xml"/><Relationship Id="rId98" Type="http://schemas.openxmlformats.org/officeDocument/2006/relationships/header" Target="header92.xml"/><Relationship Id="rId97" Type="http://schemas.openxmlformats.org/officeDocument/2006/relationships/header" Target="header91.xml"/><Relationship Id="rId96" Type="http://schemas.openxmlformats.org/officeDocument/2006/relationships/header" Target="header90.xml"/><Relationship Id="rId95" Type="http://schemas.openxmlformats.org/officeDocument/2006/relationships/header" Target="header89.xml"/><Relationship Id="rId94" Type="http://schemas.openxmlformats.org/officeDocument/2006/relationships/header" Target="header88.xml"/><Relationship Id="rId93" Type="http://schemas.openxmlformats.org/officeDocument/2006/relationships/header" Target="header87.xml"/><Relationship Id="rId92" Type="http://schemas.openxmlformats.org/officeDocument/2006/relationships/header" Target="header86.xml"/><Relationship Id="rId91" Type="http://schemas.openxmlformats.org/officeDocument/2006/relationships/header" Target="header85.xml"/><Relationship Id="rId90" Type="http://schemas.openxmlformats.org/officeDocument/2006/relationships/header" Target="header84.xml"/><Relationship Id="rId9" Type="http://schemas.openxmlformats.org/officeDocument/2006/relationships/footer" Target="footer4.xml"/><Relationship Id="rId89" Type="http://schemas.openxmlformats.org/officeDocument/2006/relationships/header" Target="header83.xml"/><Relationship Id="rId88" Type="http://schemas.openxmlformats.org/officeDocument/2006/relationships/header" Target="header82.xml"/><Relationship Id="rId87" Type="http://schemas.openxmlformats.org/officeDocument/2006/relationships/header" Target="header81.xml"/><Relationship Id="rId86" Type="http://schemas.openxmlformats.org/officeDocument/2006/relationships/header" Target="header80.xml"/><Relationship Id="rId85" Type="http://schemas.openxmlformats.org/officeDocument/2006/relationships/header" Target="header79.xml"/><Relationship Id="rId84" Type="http://schemas.openxmlformats.org/officeDocument/2006/relationships/header" Target="header78.xml"/><Relationship Id="rId83" Type="http://schemas.openxmlformats.org/officeDocument/2006/relationships/header" Target="header77.xml"/><Relationship Id="rId82" Type="http://schemas.openxmlformats.org/officeDocument/2006/relationships/header" Target="header76.xml"/><Relationship Id="rId81" Type="http://schemas.openxmlformats.org/officeDocument/2006/relationships/header" Target="header75.xml"/><Relationship Id="rId80" Type="http://schemas.openxmlformats.org/officeDocument/2006/relationships/header" Target="header74.xml"/><Relationship Id="rId8" Type="http://schemas.openxmlformats.org/officeDocument/2006/relationships/footer" Target="footer3.xml"/><Relationship Id="rId79" Type="http://schemas.openxmlformats.org/officeDocument/2006/relationships/header" Target="header73.xml"/><Relationship Id="rId78" Type="http://schemas.openxmlformats.org/officeDocument/2006/relationships/header" Target="header72.xml"/><Relationship Id="rId77" Type="http://schemas.openxmlformats.org/officeDocument/2006/relationships/header" Target="header71.xml"/><Relationship Id="rId76" Type="http://schemas.openxmlformats.org/officeDocument/2006/relationships/header" Target="header70.xml"/><Relationship Id="rId75" Type="http://schemas.openxmlformats.org/officeDocument/2006/relationships/header" Target="header69.xml"/><Relationship Id="rId74" Type="http://schemas.openxmlformats.org/officeDocument/2006/relationships/header" Target="header68.xml"/><Relationship Id="rId73" Type="http://schemas.openxmlformats.org/officeDocument/2006/relationships/header" Target="header67.xml"/><Relationship Id="rId72" Type="http://schemas.openxmlformats.org/officeDocument/2006/relationships/header" Target="header66.xml"/><Relationship Id="rId71" Type="http://schemas.openxmlformats.org/officeDocument/2006/relationships/header" Target="header65.xml"/><Relationship Id="rId70" Type="http://schemas.openxmlformats.org/officeDocument/2006/relationships/header" Target="header64.xml"/><Relationship Id="rId7" Type="http://schemas.openxmlformats.org/officeDocument/2006/relationships/footer" Target="footer2.xml"/><Relationship Id="rId69" Type="http://schemas.openxmlformats.org/officeDocument/2006/relationships/header" Target="header63.xml"/><Relationship Id="rId68" Type="http://schemas.openxmlformats.org/officeDocument/2006/relationships/header" Target="header62.xml"/><Relationship Id="rId67" Type="http://schemas.openxmlformats.org/officeDocument/2006/relationships/header" Target="header61.xml"/><Relationship Id="rId66" Type="http://schemas.openxmlformats.org/officeDocument/2006/relationships/header" Target="header60.xml"/><Relationship Id="rId65" Type="http://schemas.openxmlformats.org/officeDocument/2006/relationships/header" Target="header59.xml"/><Relationship Id="rId64" Type="http://schemas.openxmlformats.org/officeDocument/2006/relationships/header" Target="header58.xml"/><Relationship Id="rId63" Type="http://schemas.openxmlformats.org/officeDocument/2006/relationships/header" Target="header57.xml"/><Relationship Id="rId62" Type="http://schemas.openxmlformats.org/officeDocument/2006/relationships/header" Target="header56.xml"/><Relationship Id="rId61" Type="http://schemas.openxmlformats.org/officeDocument/2006/relationships/header" Target="header55.xml"/><Relationship Id="rId60" Type="http://schemas.openxmlformats.org/officeDocument/2006/relationships/header" Target="header54.xml"/><Relationship Id="rId6" Type="http://schemas.openxmlformats.org/officeDocument/2006/relationships/footer" Target="footer1.xml"/><Relationship Id="rId59" Type="http://schemas.openxmlformats.org/officeDocument/2006/relationships/header" Target="header53.xml"/><Relationship Id="rId58" Type="http://schemas.openxmlformats.org/officeDocument/2006/relationships/header" Target="header52.xml"/><Relationship Id="rId57" Type="http://schemas.openxmlformats.org/officeDocument/2006/relationships/header" Target="header51.xml"/><Relationship Id="rId56" Type="http://schemas.openxmlformats.org/officeDocument/2006/relationships/header" Target="header50.xml"/><Relationship Id="rId55" Type="http://schemas.openxmlformats.org/officeDocument/2006/relationships/header" Target="header49.xml"/><Relationship Id="rId54" Type="http://schemas.openxmlformats.org/officeDocument/2006/relationships/header" Target="header48.xml"/><Relationship Id="rId53" Type="http://schemas.openxmlformats.org/officeDocument/2006/relationships/header" Target="header47.xml"/><Relationship Id="rId52" Type="http://schemas.openxmlformats.org/officeDocument/2006/relationships/header" Target="header46.xml"/><Relationship Id="rId51" Type="http://schemas.openxmlformats.org/officeDocument/2006/relationships/header" Target="header45.xml"/><Relationship Id="rId50" Type="http://schemas.openxmlformats.org/officeDocument/2006/relationships/header" Target="header44.xml"/><Relationship Id="rId5" Type="http://schemas.openxmlformats.org/officeDocument/2006/relationships/header" Target="header3.xml"/><Relationship Id="rId49" Type="http://schemas.openxmlformats.org/officeDocument/2006/relationships/header" Target="header43.xml"/><Relationship Id="rId48" Type="http://schemas.openxmlformats.org/officeDocument/2006/relationships/header" Target="header42.xml"/><Relationship Id="rId47" Type="http://schemas.openxmlformats.org/officeDocument/2006/relationships/header" Target="header41.xml"/><Relationship Id="rId46" Type="http://schemas.openxmlformats.org/officeDocument/2006/relationships/header" Target="header40.xml"/><Relationship Id="rId45" Type="http://schemas.openxmlformats.org/officeDocument/2006/relationships/header" Target="header39.xml"/><Relationship Id="rId44" Type="http://schemas.openxmlformats.org/officeDocument/2006/relationships/header" Target="header38.xml"/><Relationship Id="rId43" Type="http://schemas.openxmlformats.org/officeDocument/2006/relationships/header" Target="header37.xml"/><Relationship Id="rId42" Type="http://schemas.openxmlformats.org/officeDocument/2006/relationships/header" Target="header36.xml"/><Relationship Id="rId41" Type="http://schemas.openxmlformats.org/officeDocument/2006/relationships/header" Target="header35.xml"/><Relationship Id="rId40" Type="http://schemas.openxmlformats.org/officeDocument/2006/relationships/header" Target="header34.xml"/><Relationship Id="rId4" Type="http://schemas.openxmlformats.org/officeDocument/2006/relationships/header" Target="header2.xml"/><Relationship Id="rId39" Type="http://schemas.openxmlformats.org/officeDocument/2006/relationships/header" Target="header33.xml"/><Relationship Id="rId38" Type="http://schemas.openxmlformats.org/officeDocument/2006/relationships/header" Target="header32.xml"/><Relationship Id="rId37" Type="http://schemas.openxmlformats.org/officeDocument/2006/relationships/header" Target="header31.xml"/><Relationship Id="rId36" Type="http://schemas.openxmlformats.org/officeDocument/2006/relationships/header" Target="header30.xml"/><Relationship Id="rId35" Type="http://schemas.openxmlformats.org/officeDocument/2006/relationships/header" Target="header29.xml"/><Relationship Id="rId34" Type="http://schemas.openxmlformats.org/officeDocument/2006/relationships/header" Target="header28.xml"/><Relationship Id="rId33" Type="http://schemas.openxmlformats.org/officeDocument/2006/relationships/header" Target="header27.xml"/><Relationship Id="rId32" Type="http://schemas.openxmlformats.org/officeDocument/2006/relationships/header" Target="header26.xml"/><Relationship Id="rId31" Type="http://schemas.openxmlformats.org/officeDocument/2006/relationships/header" Target="header25.xml"/><Relationship Id="rId30" Type="http://schemas.openxmlformats.org/officeDocument/2006/relationships/header" Target="header24.xml"/><Relationship Id="rId3" Type="http://schemas.openxmlformats.org/officeDocument/2006/relationships/header" Target="header1.xml"/><Relationship Id="rId29" Type="http://schemas.openxmlformats.org/officeDocument/2006/relationships/header" Target="header23.xml"/><Relationship Id="rId28" Type="http://schemas.openxmlformats.org/officeDocument/2006/relationships/header" Target="header22.xml"/><Relationship Id="rId27" Type="http://schemas.openxmlformats.org/officeDocument/2006/relationships/header" Target="header21.xml"/><Relationship Id="rId26" Type="http://schemas.openxmlformats.org/officeDocument/2006/relationships/header" Target="header20.xml"/><Relationship Id="rId25" Type="http://schemas.openxmlformats.org/officeDocument/2006/relationships/header" Target="header19.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header" Target="header1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6" Type="http://schemas.openxmlformats.org/officeDocument/2006/relationships/fontTable" Target="fontTable.xml"/><Relationship Id="rId105" Type="http://schemas.openxmlformats.org/officeDocument/2006/relationships/numbering" Target="numbering.xml"/><Relationship Id="rId104" Type="http://schemas.openxmlformats.org/officeDocument/2006/relationships/customXml" Target="../customXml/item1.xml"/><Relationship Id="rId103" Type="http://schemas.openxmlformats.org/officeDocument/2006/relationships/theme" Target="theme/theme1.xml"/><Relationship Id="rId102" Type="http://schemas.openxmlformats.org/officeDocument/2006/relationships/header" Target="header96.xml"/><Relationship Id="rId101" Type="http://schemas.openxmlformats.org/officeDocument/2006/relationships/header" Target="header95.xml"/><Relationship Id="rId100" Type="http://schemas.openxmlformats.org/officeDocument/2006/relationships/header" Target="header9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226</Pages>
  <Words>15548</Words>
  <Characters>88626</Characters>
  <Lines>738</Lines>
  <Paragraphs>207</Paragraphs>
  <ScaleCrop>false</ScaleCrop>
  <LinksUpToDate>false</LinksUpToDate>
  <CharactersWithSpaces>103967</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2017-03-02T09:58:00Z</dcterms:created>
  <dc:creator>master</dc:creator>
  <cp:lastModifiedBy>Administrator</cp:lastModifiedBy>
  <dcterms:modified xsi:type="dcterms:W3CDTF">2017-04-19T01:09:15Z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